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3B2F3" w14:textId="77777777" w:rsidR="00CD2C11" w:rsidRPr="008F72C5" w:rsidRDefault="00CD2C11" w:rsidP="00CD2C11">
      <w:pPr>
        <w:pStyle w:val="Texte"/>
        <w:jc w:val="center"/>
        <w:rPr>
          <w:b/>
          <w:noProof w:val="0"/>
          <w:sz w:val="28"/>
          <w:szCs w:val="28"/>
        </w:rPr>
      </w:pPr>
      <w:r w:rsidRPr="008F72C5">
        <w:rPr>
          <w:b/>
          <w:noProof w:val="0"/>
          <w:sz w:val="28"/>
          <w:szCs w:val="28"/>
        </w:rPr>
        <w:t>Ville de Bruxelles – Instruction publique</w:t>
      </w:r>
    </w:p>
    <w:p w14:paraId="0693B2F4" w14:textId="77777777" w:rsidR="00CD2C11" w:rsidRPr="008F72C5" w:rsidRDefault="00CD2C11" w:rsidP="00CD2C11">
      <w:pPr>
        <w:pStyle w:val="Texte"/>
        <w:jc w:val="center"/>
        <w:rPr>
          <w:b/>
          <w:noProof w:val="0"/>
          <w:sz w:val="28"/>
          <w:szCs w:val="28"/>
        </w:rPr>
      </w:pPr>
      <w:r w:rsidRPr="008F72C5">
        <w:rPr>
          <w:b/>
          <w:noProof w:val="0"/>
          <w:sz w:val="28"/>
          <w:szCs w:val="28"/>
        </w:rPr>
        <w:t>Institut des Carrières Commerciales</w:t>
      </w:r>
    </w:p>
    <w:p w14:paraId="0693B2F5" w14:textId="77777777" w:rsidR="00CD2C11" w:rsidRDefault="00CD2C11" w:rsidP="00CD2C11">
      <w:pPr>
        <w:jc w:val="center"/>
        <w:rPr>
          <w:b/>
          <w:sz w:val="28"/>
        </w:rPr>
      </w:pPr>
    </w:p>
    <w:p w14:paraId="0693B2F6" w14:textId="77777777" w:rsidR="00CD2C11" w:rsidRDefault="00FB0892" w:rsidP="00CD2C11">
      <w:pPr>
        <w:jc w:val="center"/>
        <w:rPr>
          <w:b/>
          <w:sz w:val="28"/>
        </w:rPr>
      </w:pPr>
      <w:r>
        <w:rPr>
          <w:noProof/>
          <w:lang w:eastAsia="fr-BE"/>
        </w:rPr>
        <w:drawing>
          <wp:inline distT="0" distB="0" distL="0" distR="0" wp14:anchorId="0693BABA" wp14:editId="0693BABB">
            <wp:extent cx="1447800" cy="1447800"/>
            <wp:effectExtent l="19050" t="19050" r="19050" b="19050"/>
            <wp:docPr id="1" name="Imag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w="6350" cmpd="sng">
                      <a:solidFill>
                        <a:srgbClr val="000000"/>
                      </a:solidFill>
                      <a:miter lim="800000"/>
                      <a:headEnd/>
                      <a:tailEnd/>
                    </a:ln>
                    <a:effectLst/>
                  </pic:spPr>
                </pic:pic>
              </a:graphicData>
            </a:graphic>
          </wp:inline>
        </w:drawing>
      </w:r>
    </w:p>
    <w:p w14:paraId="0693B2F7" w14:textId="77777777" w:rsidR="00CD2C11" w:rsidRDefault="00CD2C11" w:rsidP="00CD2C11">
      <w:pPr>
        <w:jc w:val="center"/>
        <w:rPr>
          <w:b/>
          <w:sz w:val="28"/>
        </w:rPr>
      </w:pPr>
    </w:p>
    <w:p w14:paraId="0693B2F8" w14:textId="77777777" w:rsidR="00CD2C11" w:rsidRDefault="00CD2C11" w:rsidP="00CD2C11">
      <w:pPr>
        <w:jc w:val="center"/>
        <w:rPr>
          <w:b/>
          <w:sz w:val="28"/>
        </w:rPr>
      </w:pPr>
    </w:p>
    <w:p w14:paraId="0693B2F9" w14:textId="77777777" w:rsidR="00CD2C11" w:rsidRDefault="00CD2C11" w:rsidP="00CD2C11">
      <w:pPr>
        <w:pStyle w:val="Texte"/>
      </w:pPr>
    </w:p>
    <w:p w14:paraId="0693B2FA" w14:textId="77777777" w:rsidR="00CD2C11" w:rsidRDefault="00CD2C11" w:rsidP="00CD2C11">
      <w:pPr>
        <w:jc w:val="center"/>
        <w:rPr>
          <w:b/>
          <w:sz w:val="28"/>
        </w:rPr>
      </w:pPr>
    </w:p>
    <w:p w14:paraId="0693B2FB" w14:textId="77777777" w:rsidR="00CD2C11" w:rsidRDefault="00CD2C11" w:rsidP="00CD2C11">
      <w:pPr>
        <w:pBdr>
          <w:top w:val="single" w:sz="12" w:space="1" w:color="000000" w:shadow="1"/>
          <w:left w:val="single" w:sz="12" w:space="4" w:color="000000" w:shadow="1"/>
          <w:bottom w:val="single" w:sz="12" w:space="1" w:color="000000" w:shadow="1"/>
          <w:right w:val="single" w:sz="12" w:space="4" w:color="000000" w:shadow="1"/>
        </w:pBdr>
        <w:ind w:left="1418" w:right="1416"/>
        <w:jc w:val="center"/>
        <w:rPr>
          <w:b/>
          <w:sz w:val="48"/>
        </w:rPr>
      </w:pPr>
    </w:p>
    <w:p w14:paraId="0693B2FC" w14:textId="77777777" w:rsidR="00CD2C11" w:rsidRDefault="0033587F" w:rsidP="00CD2C11">
      <w:pPr>
        <w:pBdr>
          <w:top w:val="single" w:sz="12" w:space="1" w:color="000000" w:shadow="1"/>
          <w:left w:val="single" w:sz="12" w:space="4" w:color="000000" w:shadow="1"/>
          <w:bottom w:val="single" w:sz="12" w:space="1" w:color="000000" w:shadow="1"/>
          <w:right w:val="single" w:sz="12" w:space="4" w:color="000000" w:shadow="1"/>
        </w:pBdr>
        <w:ind w:left="1418" w:right="1416"/>
        <w:jc w:val="center"/>
        <w:rPr>
          <w:b/>
          <w:sz w:val="48"/>
        </w:rPr>
      </w:pPr>
      <w:r>
        <w:rPr>
          <w:b/>
          <w:sz w:val="48"/>
        </w:rPr>
        <w:t xml:space="preserve">LEGISLATION &amp; </w:t>
      </w:r>
      <w:r w:rsidR="00CD2C11">
        <w:rPr>
          <w:b/>
          <w:sz w:val="48"/>
        </w:rPr>
        <w:t>DROIT COMMERCIAL</w:t>
      </w:r>
      <w:r w:rsidR="001F17AC">
        <w:rPr>
          <w:b/>
          <w:sz w:val="48"/>
        </w:rPr>
        <w:br/>
      </w:r>
      <w:r w:rsidR="00FB0892">
        <w:rPr>
          <w:noProof/>
          <w:lang w:eastAsia="fr-BE"/>
        </w:rPr>
        <w:drawing>
          <wp:inline distT="0" distB="0" distL="0" distR="0" wp14:anchorId="0693BABC" wp14:editId="0693BABD">
            <wp:extent cx="1676400" cy="1905000"/>
            <wp:effectExtent l="0" t="0" r="0" b="0"/>
            <wp:docPr id="2" name="il_fi" descr="marteau-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rteau-l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a:ln>
                      <a:noFill/>
                    </a:ln>
                  </pic:spPr>
                </pic:pic>
              </a:graphicData>
            </a:graphic>
          </wp:inline>
        </w:drawing>
      </w:r>
      <w:r w:rsidR="001F17AC">
        <w:rPr>
          <w:b/>
          <w:sz w:val="48"/>
        </w:rPr>
        <w:br/>
      </w:r>
      <w:r w:rsidR="001F17AC" w:rsidRPr="001F17AC">
        <w:rPr>
          <w:b/>
          <w:i/>
          <w:sz w:val="36"/>
          <w:szCs w:val="36"/>
        </w:rPr>
        <w:t>Notes de cours</w:t>
      </w:r>
    </w:p>
    <w:p w14:paraId="0693B2FD" w14:textId="77777777" w:rsidR="00CD2C11" w:rsidRPr="00C416DB" w:rsidRDefault="00CD2C11" w:rsidP="00CD2C11">
      <w:pPr>
        <w:pBdr>
          <w:top w:val="single" w:sz="12" w:space="1" w:color="000000" w:shadow="1"/>
          <w:left w:val="single" w:sz="12" w:space="4" w:color="000000" w:shadow="1"/>
          <w:bottom w:val="single" w:sz="12" w:space="1" w:color="000000" w:shadow="1"/>
          <w:right w:val="single" w:sz="12" w:space="4" w:color="000000" w:shadow="1"/>
        </w:pBdr>
        <w:ind w:left="1418" w:right="1416"/>
        <w:jc w:val="center"/>
        <w:rPr>
          <w:b/>
          <w:sz w:val="48"/>
        </w:rPr>
      </w:pPr>
    </w:p>
    <w:p w14:paraId="0693B2FE" w14:textId="77777777" w:rsidR="00CD2C11" w:rsidRDefault="00CD2C11" w:rsidP="00CD2C11">
      <w:pPr>
        <w:pBdr>
          <w:top w:val="single" w:sz="12" w:space="1" w:color="000000" w:shadow="1"/>
          <w:left w:val="single" w:sz="12" w:space="4" w:color="000000" w:shadow="1"/>
          <w:bottom w:val="single" w:sz="12" w:space="1" w:color="000000" w:shadow="1"/>
          <w:right w:val="single" w:sz="12" w:space="4" w:color="000000" w:shadow="1"/>
        </w:pBdr>
        <w:ind w:left="1418" w:right="1416"/>
        <w:jc w:val="center"/>
        <w:rPr>
          <w:b/>
          <w:sz w:val="28"/>
          <w:szCs w:val="28"/>
        </w:rPr>
      </w:pPr>
      <w:r w:rsidRPr="00C416DB">
        <w:rPr>
          <w:b/>
          <w:sz w:val="28"/>
          <w:szCs w:val="28"/>
        </w:rPr>
        <w:t>Version partielle, expérimentale et provisoire</w:t>
      </w:r>
    </w:p>
    <w:p w14:paraId="0693B2FF" w14:textId="77777777" w:rsidR="00CD2C11" w:rsidRPr="00C416DB" w:rsidRDefault="00CD2C11" w:rsidP="00CD2C11">
      <w:pPr>
        <w:pBdr>
          <w:top w:val="single" w:sz="12" w:space="1" w:color="000000" w:shadow="1"/>
          <w:left w:val="single" w:sz="12" w:space="4" w:color="000000" w:shadow="1"/>
          <w:bottom w:val="single" w:sz="12" w:space="1" w:color="000000" w:shadow="1"/>
          <w:right w:val="single" w:sz="12" w:space="4" w:color="000000" w:shadow="1"/>
        </w:pBdr>
        <w:ind w:left="1418" w:right="1416"/>
        <w:jc w:val="center"/>
        <w:rPr>
          <w:b/>
          <w:sz w:val="28"/>
          <w:szCs w:val="28"/>
        </w:rPr>
      </w:pPr>
    </w:p>
    <w:p w14:paraId="0693B300" w14:textId="77777777" w:rsidR="00CD2C11" w:rsidRDefault="00CD2C11" w:rsidP="00CD2C11">
      <w:pPr>
        <w:jc w:val="center"/>
        <w:rPr>
          <w:b/>
          <w:sz w:val="22"/>
        </w:rPr>
      </w:pPr>
    </w:p>
    <w:p w14:paraId="0693B301" w14:textId="77777777" w:rsidR="00CD2C11" w:rsidRDefault="00CD2C11" w:rsidP="00CD2C11">
      <w:pPr>
        <w:jc w:val="center"/>
        <w:rPr>
          <w:b/>
          <w:sz w:val="22"/>
        </w:rPr>
      </w:pPr>
    </w:p>
    <w:p w14:paraId="0693B302" w14:textId="77777777" w:rsidR="00CD2C11" w:rsidRPr="00C805FF" w:rsidRDefault="00CD2C11" w:rsidP="00CD2C11">
      <w:pPr>
        <w:jc w:val="center"/>
        <w:rPr>
          <w:b/>
          <w:i/>
          <w:sz w:val="24"/>
        </w:rPr>
      </w:pPr>
      <w:r w:rsidRPr="00C805FF">
        <w:rPr>
          <w:b/>
          <w:i/>
          <w:sz w:val="24"/>
        </w:rPr>
        <w:t>Pour Bacheliers en Droit (1</w:t>
      </w:r>
      <w:r w:rsidRPr="00C805FF">
        <w:rPr>
          <w:b/>
          <w:i/>
          <w:sz w:val="24"/>
          <w:vertAlign w:val="superscript"/>
        </w:rPr>
        <w:t>re</w:t>
      </w:r>
      <w:r w:rsidRPr="00C805FF">
        <w:rPr>
          <w:b/>
          <w:i/>
          <w:sz w:val="24"/>
        </w:rPr>
        <w:t xml:space="preserve"> année)</w:t>
      </w:r>
    </w:p>
    <w:p w14:paraId="0693B303" w14:textId="77777777" w:rsidR="004C64BF" w:rsidRPr="00C805FF" w:rsidRDefault="004C64BF" w:rsidP="004C64BF">
      <w:pPr>
        <w:jc w:val="center"/>
        <w:rPr>
          <w:b/>
          <w:i/>
          <w:sz w:val="24"/>
        </w:rPr>
      </w:pPr>
      <w:r w:rsidRPr="00C805FF">
        <w:rPr>
          <w:b/>
          <w:i/>
          <w:sz w:val="24"/>
        </w:rPr>
        <w:t>Pour Bacheliers en Comptabilité (2</w:t>
      </w:r>
      <w:r w:rsidRPr="00C805FF">
        <w:rPr>
          <w:b/>
          <w:i/>
          <w:sz w:val="24"/>
          <w:vertAlign w:val="superscript"/>
        </w:rPr>
        <w:t>e</w:t>
      </w:r>
      <w:r w:rsidRPr="00C805FF">
        <w:rPr>
          <w:b/>
          <w:i/>
          <w:sz w:val="24"/>
        </w:rPr>
        <w:t xml:space="preserve"> année)</w:t>
      </w:r>
    </w:p>
    <w:p w14:paraId="0693B304" w14:textId="77777777" w:rsidR="004C64BF" w:rsidRPr="00C805FF" w:rsidRDefault="004C64BF" w:rsidP="004C64BF">
      <w:pPr>
        <w:jc w:val="center"/>
        <w:rPr>
          <w:b/>
          <w:i/>
          <w:sz w:val="24"/>
        </w:rPr>
      </w:pPr>
      <w:r w:rsidRPr="00C805FF">
        <w:rPr>
          <w:b/>
          <w:i/>
          <w:sz w:val="24"/>
        </w:rPr>
        <w:t>Pour Bacheliers en Secrétariat de Direction (3</w:t>
      </w:r>
      <w:r w:rsidRPr="00C805FF">
        <w:rPr>
          <w:b/>
          <w:i/>
          <w:sz w:val="24"/>
          <w:vertAlign w:val="superscript"/>
        </w:rPr>
        <w:t>e</w:t>
      </w:r>
      <w:r w:rsidRPr="00C805FF">
        <w:rPr>
          <w:b/>
          <w:i/>
          <w:sz w:val="24"/>
        </w:rPr>
        <w:t xml:space="preserve"> année)</w:t>
      </w:r>
    </w:p>
    <w:p w14:paraId="0693B305" w14:textId="77777777" w:rsidR="00CD2C11" w:rsidRDefault="00CD2C11" w:rsidP="00CD2C11">
      <w:pPr>
        <w:jc w:val="center"/>
        <w:rPr>
          <w:b/>
          <w:sz w:val="22"/>
        </w:rPr>
      </w:pPr>
    </w:p>
    <w:p w14:paraId="0693B306" w14:textId="77777777" w:rsidR="00CD2C11" w:rsidRDefault="00CD2C11" w:rsidP="00CD2C11">
      <w:pPr>
        <w:jc w:val="center"/>
        <w:rPr>
          <w:b/>
          <w:sz w:val="22"/>
        </w:rPr>
      </w:pPr>
    </w:p>
    <w:p w14:paraId="0693B307" w14:textId="77777777" w:rsidR="00CD2C11" w:rsidRDefault="00CD2C11" w:rsidP="00CD2C11">
      <w:pPr>
        <w:jc w:val="center"/>
        <w:rPr>
          <w:b/>
          <w:sz w:val="22"/>
        </w:rPr>
      </w:pPr>
    </w:p>
    <w:p w14:paraId="0693B308" w14:textId="77777777" w:rsidR="00C805FF" w:rsidRDefault="00C805FF" w:rsidP="00CD2C11">
      <w:pPr>
        <w:jc w:val="center"/>
        <w:rPr>
          <w:b/>
          <w:sz w:val="22"/>
        </w:rPr>
      </w:pPr>
    </w:p>
    <w:p w14:paraId="0693B309" w14:textId="77777777" w:rsidR="00CD2C11" w:rsidRDefault="00CD2C11" w:rsidP="00CD2C11">
      <w:pPr>
        <w:jc w:val="center"/>
        <w:rPr>
          <w:b/>
          <w:sz w:val="24"/>
        </w:rPr>
      </w:pPr>
      <w:r w:rsidRPr="008F72C5">
        <w:rPr>
          <w:b/>
          <w:sz w:val="24"/>
        </w:rPr>
        <w:t>Par Éric Kirsch</w:t>
      </w:r>
    </w:p>
    <w:p w14:paraId="0693B30A" w14:textId="05F81002" w:rsidR="00CD2C11" w:rsidRPr="008F72C5" w:rsidRDefault="00CD2C11" w:rsidP="00CD2C11">
      <w:pPr>
        <w:jc w:val="center"/>
        <w:rPr>
          <w:b/>
          <w:sz w:val="24"/>
        </w:rPr>
      </w:pPr>
      <w:r w:rsidRPr="008F72C5">
        <w:rPr>
          <w:b/>
          <w:sz w:val="24"/>
        </w:rPr>
        <w:t>20</w:t>
      </w:r>
      <w:r w:rsidR="00CF32E2">
        <w:rPr>
          <w:b/>
          <w:sz w:val="24"/>
        </w:rPr>
        <w:t>1</w:t>
      </w:r>
      <w:r w:rsidR="00A64CC7">
        <w:rPr>
          <w:b/>
          <w:sz w:val="24"/>
        </w:rPr>
        <w:t>6</w:t>
      </w:r>
      <w:r w:rsidRPr="008F72C5">
        <w:rPr>
          <w:b/>
          <w:sz w:val="24"/>
        </w:rPr>
        <w:t xml:space="preserve"> - 201</w:t>
      </w:r>
      <w:r w:rsidR="00A64CC7">
        <w:rPr>
          <w:b/>
          <w:sz w:val="24"/>
        </w:rPr>
        <w:t>7</w:t>
      </w:r>
    </w:p>
    <w:p w14:paraId="0693B30B" w14:textId="77777777" w:rsidR="00CD2C11" w:rsidRDefault="00CD2C11" w:rsidP="00CD2C11">
      <w:pPr>
        <w:spacing w:before="480" w:after="480"/>
        <w:jc w:val="center"/>
        <w:rPr>
          <w:b/>
          <w:color w:val="FF0000"/>
          <w:sz w:val="48"/>
          <w:szCs w:val="48"/>
        </w:rPr>
      </w:pPr>
      <w:r>
        <w:br w:type="page"/>
      </w:r>
      <w:r w:rsidRPr="007B628D">
        <w:rPr>
          <w:b/>
          <w:color w:val="FF0000"/>
          <w:sz w:val="48"/>
          <w:szCs w:val="48"/>
        </w:rPr>
        <w:lastRenderedPageBreak/>
        <w:t>Table</w:t>
      </w:r>
    </w:p>
    <w:bookmarkStart w:id="0" w:name="_GoBack"/>
    <w:bookmarkEnd w:id="0"/>
    <w:p w14:paraId="7F46E58D" w14:textId="77777777" w:rsidR="00772723" w:rsidRDefault="0041495B">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r>
        <w:fldChar w:fldCharType="begin"/>
      </w:r>
      <w:r w:rsidR="00CD2C11">
        <w:instrText xml:space="preserve"> TOC \o "1-3" \h \z \u </w:instrText>
      </w:r>
      <w:r>
        <w:fldChar w:fldCharType="separate"/>
      </w:r>
      <w:hyperlink w:anchor="_Toc482815548" w:history="1">
        <w:r w:rsidR="00772723" w:rsidRPr="00C47DA9">
          <w:rPr>
            <w:rStyle w:val="Lienhypertexte"/>
            <w:noProof/>
          </w:rPr>
          <w:t>0.</w:t>
        </w:r>
        <w:r w:rsidR="00772723">
          <w:rPr>
            <w:rFonts w:asciiTheme="minorHAnsi" w:eastAsiaTheme="minorEastAsia" w:hAnsiTheme="minorHAnsi" w:cstheme="minorBidi"/>
            <w:b w:val="0"/>
            <w:bCs w:val="0"/>
            <w:caps w:val="0"/>
            <w:noProof/>
            <w:sz w:val="22"/>
            <w:szCs w:val="22"/>
            <w:lang w:eastAsia="fr-BE"/>
          </w:rPr>
          <w:tab/>
        </w:r>
        <w:r w:rsidR="00772723" w:rsidRPr="00C47DA9">
          <w:rPr>
            <w:rStyle w:val="Lienhypertexte"/>
            <w:noProof/>
          </w:rPr>
          <w:t>Introduction</w:t>
        </w:r>
        <w:r w:rsidR="00772723">
          <w:rPr>
            <w:noProof/>
            <w:webHidden/>
          </w:rPr>
          <w:tab/>
        </w:r>
        <w:r w:rsidR="00772723">
          <w:rPr>
            <w:noProof/>
            <w:webHidden/>
          </w:rPr>
          <w:fldChar w:fldCharType="begin"/>
        </w:r>
        <w:r w:rsidR="00772723">
          <w:rPr>
            <w:noProof/>
            <w:webHidden/>
          </w:rPr>
          <w:instrText xml:space="preserve"> PAGEREF _Toc482815548 \h </w:instrText>
        </w:r>
        <w:r w:rsidR="00772723">
          <w:rPr>
            <w:noProof/>
            <w:webHidden/>
          </w:rPr>
        </w:r>
        <w:r w:rsidR="00772723">
          <w:rPr>
            <w:noProof/>
            <w:webHidden/>
          </w:rPr>
          <w:fldChar w:fldCharType="separate"/>
        </w:r>
        <w:r w:rsidR="00772723">
          <w:rPr>
            <w:noProof/>
            <w:webHidden/>
          </w:rPr>
          <w:t>6</w:t>
        </w:r>
        <w:r w:rsidR="00772723">
          <w:rPr>
            <w:noProof/>
            <w:webHidden/>
          </w:rPr>
          <w:fldChar w:fldCharType="end"/>
        </w:r>
      </w:hyperlink>
    </w:p>
    <w:p w14:paraId="5DE1533F"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49" w:history="1">
        <w:r w:rsidRPr="00C47DA9">
          <w:rPr>
            <w:rStyle w:val="Lienhypertexte"/>
            <w:noProof/>
          </w:rPr>
          <w:t>0.1.</w:t>
        </w:r>
        <w:r>
          <w:rPr>
            <w:rFonts w:asciiTheme="minorHAnsi" w:eastAsiaTheme="minorEastAsia" w:hAnsiTheme="minorHAnsi" w:cstheme="minorBidi"/>
            <w:smallCaps w:val="0"/>
            <w:noProof/>
            <w:sz w:val="22"/>
            <w:szCs w:val="22"/>
            <w:lang w:eastAsia="fr-BE"/>
          </w:rPr>
          <w:tab/>
        </w:r>
        <w:r w:rsidRPr="00C47DA9">
          <w:rPr>
            <w:rStyle w:val="Lienhypertexte"/>
            <w:noProof/>
          </w:rPr>
          <w:t>Finalités de l’unité de formation</w:t>
        </w:r>
        <w:r>
          <w:rPr>
            <w:noProof/>
            <w:webHidden/>
          </w:rPr>
          <w:tab/>
        </w:r>
        <w:r>
          <w:rPr>
            <w:noProof/>
            <w:webHidden/>
          </w:rPr>
          <w:fldChar w:fldCharType="begin"/>
        </w:r>
        <w:r>
          <w:rPr>
            <w:noProof/>
            <w:webHidden/>
          </w:rPr>
          <w:instrText xml:space="preserve"> PAGEREF _Toc482815549 \h </w:instrText>
        </w:r>
        <w:r>
          <w:rPr>
            <w:noProof/>
            <w:webHidden/>
          </w:rPr>
        </w:r>
        <w:r>
          <w:rPr>
            <w:noProof/>
            <w:webHidden/>
          </w:rPr>
          <w:fldChar w:fldCharType="separate"/>
        </w:r>
        <w:r>
          <w:rPr>
            <w:noProof/>
            <w:webHidden/>
          </w:rPr>
          <w:t>7</w:t>
        </w:r>
        <w:r>
          <w:rPr>
            <w:noProof/>
            <w:webHidden/>
          </w:rPr>
          <w:fldChar w:fldCharType="end"/>
        </w:r>
      </w:hyperlink>
    </w:p>
    <w:p w14:paraId="28438FD9"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0" w:history="1">
        <w:r w:rsidRPr="00C47DA9">
          <w:rPr>
            <w:rStyle w:val="Lienhypertexte"/>
            <w:noProof/>
          </w:rPr>
          <w:t>0.1.1.</w:t>
        </w:r>
        <w:r>
          <w:rPr>
            <w:rFonts w:asciiTheme="minorHAnsi" w:eastAsiaTheme="minorEastAsia" w:hAnsiTheme="minorHAnsi" w:cstheme="minorBidi"/>
            <w:i w:val="0"/>
            <w:iCs w:val="0"/>
            <w:noProof/>
            <w:sz w:val="22"/>
            <w:szCs w:val="22"/>
            <w:lang w:eastAsia="fr-BE"/>
          </w:rPr>
          <w:tab/>
        </w:r>
        <w:r w:rsidRPr="00C47DA9">
          <w:rPr>
            <w:rStyle w:val="Lienhypertexte"/>
            <w:noProof/>
          </w:rPr>
          <w:t>Finalités générales</w:t>
        </w:r>
        <w:r>
          <w:rPr>
            <w:noProof/>
            <w:webHidden/>
          </w:rPr>
          <w:tab/>
        </w:r>
        <w:r>
          <w:rPr>
            <w:noProof/>
            <w:webHidden/>
          </w:rPr>
          <w:fldChar w:fldCharType="begin"/>
        </w:r>
        <w:r>
          <w:rPr>
            <w:noProof/>
            <w:webHidden/>
          </w:rPr>
          <w:instrText xml:space="preserve"> PAGEREF _Toc482815550 \h </w:instrText>
        </w:r>
        <w:r>
          <w:rPr>
            <w:noProof/>
            <w:webHidden/>
          </w:rPr>
        </w:r>
        <w:r>
          <w:rPr>
            <w:noProof/>
            <w:webHidden/>
          </w:rPr>
          <w:fldChar w:fldCharType="separate"/>
        </w:r>
        <w:r>
          <w:rPr>
            <w:noProof/>
            <w:webHidden/>
          </w:rPr>
          <w:t>7</w:t>
        </w:r>
        <w:r>
          <w:rPr>
            <w:noProof/>
            <w:webHidden/>
          </w:rPr>
          <w:fldChar w:fldCharType="end"/>
        </w:r>
      </w:hyperlink>
    </w:p>
    <w:p w14:paraId="42F24A4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1" w:history="1">
        <w:r w:rsidRPr="00C47DA9">
          <w:rPr>
            <w:rStyle w:val="Lienhypertexte"/>
            <w:noProof/>
          </w:rPr>
          <w:t>0.1.2.</w:t>
        </w:r>
        <w:r>
          <w:rPr>
            <w:rFonts w:asciiTheme="minorHAnsi" w:eastAsiaTheme="minorEastAsia" w:hAnsiTheme="minorHAnsi" w:cstheme="minorBidi"/>
            <w:i w:val="0"/>
            <w:iCs w:val="0"/>
            <w:noProof/>
            <w:sz w:val="22"/>
            <w:szCs w:val="22"/>
            <w:lang w:eastAsia="fr-BE"/>
          </w:rPr>
          <w:tab/>
        </w:r>
        <w:r w:rsidRPr="00C47DA9">
          <w:rPr>
            <w:rStyle w:val="Lienhypertexte"/>
            <w:noProof/>
          </w:rPr>
          <w:t>Finalités particulières</w:t>
        </w:r>
        <w:r>
          <w:rPr>
            <w:noProof/>
            <w:webHidden/>
          </w:rPr>
          <w:tab/>
        </w:r>
        <w:r>
          <w:rPr>
            <w:noProof/>
            <w:webHidden/>
          </w:rPr>
          <w:fldChar w:fldCharType="begin"/>
        </w:r>
        <w:r>
          <w:rPr>
            <w:noProof/>
            <w:webHidden/>
          </w:rPr>
          <w:instrText xml:space="preserve"> PAGEREF _Toc482815551 \h </w:instrText>
        </w:r>
        <w:r>
          <w:rPr>
            <w:noProof/>
            <w:webHidden/>
          </w:rPr>
        </w:r>
        <w:r>
          <w:rPr>
            <w:noProof/>
            <w:webHidden/>
          </w:rPr>
          <w:fldChar w:fldCharType="separate"/>
        </w:r>
        <w:r>
          <w:rPr>
            <w:noProof/>
            <w:webHidden/>
          </w:rPr>
          <w:t>7</w:t>
        </w:r>
        <w:r>
          <w:rPr>
            <w:noProof/>
            <w:webHidden/>
          </w:rPr>
          <w:fldChar w:fldCharType="end"/>
        </w:r>
      </w:hyperlink>
    </w:p>
    <w:p w14:paraId="641771F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52" w:history="1">
        <w:r w:rsidRPr="00C47DA9">
          <w:rPr>
            <w:rStyle w:val="Lienhypertexte"/>
            <w:noProof/>
          </w:rPr>
          <w:t>0.2.</w:t>
        </w:r>
        <w:r>
          <w:rPr>
            <w:rFonts w:asciiTheme="minorHAnsi" w:eastAsiaTheme="minorEastAsia" w:hAnsiTheme="minorHAnsi" w:cstheme="minorBidi"/>
            <w:smallCaps w:val="0"/>
            <w:noProof/>
            <w:sz w:val="22"/>
            <w:szCs w:val="22"/>
            <w:lang w:eastAsia="fr-BE"/>
          </w:rPr>
          <w:tab/>
        </w:r>
        <w:r w:rsidRPr="00C47DA9">
          <w:rPr>
            <w:rStyle w:val="Lienhypertexte"/>
            <w:noProof/>
          </w:rPr>
          <w:t>Capacités préalables requises</w:t>
        </w:r>
        <w:r>
          <w:rPr>
            <w:noProof/>
            <w:webHidden/>
          </w:rPr>
          <w:tab/>
        </w:r>
        <w:r>
          <w:rPr>
            <w:noProof/>
            <w:webHidden/>
          </w:rPr>
          <w:fldChar w:fldCharType="begin"/>
        </w:r>
        <w:r>
          <w:rPr>
            <w:noProof/>
            <w:webHidden/>
          </w:rPr>
          <w:instrText xml:space="preserve"> PAGEREF _Toc482815552 \h </w:instrText>
        </w:r>
        <w:r>
          <w:rPr>
            <w:noProof/>
            <w:webHidden/>
          </w:rPr>
        </w:r>
        <w:r>
          <w:rPr>
            <w:noProof/>
            <w:webHidden/>
          </w:rPr>
          <w:fldChar w:fldCharType="separate"/>
        </w:r>
        <w:r>
          <w:rPr>
            <w:noProof/>
            <w:webHidden/>
          </w:rPr>
          <w:t>7</w:t>
        </w:r>
        <w:r>
          <w:rPr>
            <w:noProof/>
            <w:webHidden/>
          </w:rPr>
          <w:fldChar w:fldCharType="end"/>
        </w:r>
      </w:hyperlink>
    </w:p>
    <w:p w14:paraId="727BB5B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3" w:history="1">
        <w:r w:rsidRPr="00C47DA9">
          <w:rPr>
            <w:rStyle w:val="Lienhypertexte"/>
            <w:noProof/>
          </w:rPr>
          <w:t>0.2.1.</w:t>
        </w:r>
        <w:r>
          <w:rPr>
            <w:rFonts w:asciiTheme="minorHAnsi" w:eastAsiaTheme="minorEastAsia" w:hAnsiTheme="minorHAnsi" w:cstheme="minorBidi"/>
            <w:i w:val="0"/>
            <w:iCs w:val="0"/>
            <w:noProof/>
            <w:sz w:val="22"/>
            <w:szCs w:val="22"/>
            <w:lang w:eastAsia="fr-BE"/>
          </w:rPr>
          <w:tab/>
        </w:r>
        <w:r w:rsidRPr="00C47DA9">
          <w:rPr>
            <w:rStyle w:val="Lienhypertexte"/>
            <w:noProof/>
          </w:rPr>
          <w:t>Capacités</w:t>
        </w:r>
        <w:r>
          <w:rPr>
            <w:noProof/>
            <w:webHidden/>
          </w:rPr>
          <w:tab/>
        </w:r>
        <w:r>
          <w:rPr>
            <w:noProof/>
            <w:webHidden/>
          </w:rPr>
          <w:fldChar w:fldCharType="begin"/>
        </w:r>
        <w:r>
          <w:rPr>
            <w:noProof/>
            <w:webHidden/>
          </w:rPr>
          <w:instrText xml:space="preserve"> PAGEREF _Toc482815553 \h </w:instrText>
        </w:r>
        <w:r>
          <w:rPr>
            <w:noProof/>
            <w:webHidden/>
          </w:rPr>
        </w:r>
        <w:r>
          <w:rPr>
            <w:noProof/>
            <w:webHidden/>
          </w:rPr>
          <w:fldChar w:fldCharType="separate"/>
        </w:r>
        <w:r>
          <w:rPr>
            <w:noProof/>
            <w:webHidden/>
          </w:rPr>
          <w:t>7</w:t>
        </w:r>
        <w:r>
          <w:rPr>
            <w:noProof/>
            <w:webHidden/>
          </w:rPr>
          <w:fldChar w:fldCharType="end"/>
        </w:r>
      </w:hyperlink>
    </w:p>
    <w:p w14:paraId="0EF82FE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4" w:history="1">
        <w:r w:rsidRPr="00C47DA9">
          <w:rPr>
            <w:rStyle w:val="Lienhypertexte"/>
            <w:noProof/>
          </w:rPr>
          <w:t>0.2.2.</w:t>
        </w:r>
        <w:r>
          <w:rPr>
            <w:rFonts w:asciiTheme="minorHAnsi" w:eastAsiaTheme="minorEastAsia" w:hAnsiTheme="minorHAnsi" w:cstheme="minorBidi"/>
            <w:i w:val="0"/>
            <w:iCs w:val="0"/>
            <w:noProof/>
            <w:sz w:val="22"/>
            <w:szCs w:val="22"/>
            <w:lang w:eastAsia="fr-BE"/>
          </w:rPr>
          <w:tab/>
        </w:r>
        <w:r w:rsidRPr="00C47DA9">
          <w:rPr>
            <w:rStyle w:val="Lienhypertexte"/>
            <w:noProof/>
          </w:rPr>
          <w:t>Titre pouvant en tenir lieu</w:t>
        </w:r>
        <w:r>
          <w:rPr>
            <w:noProof/>
            <w:webHidden/>
          </w:rPr>
          <w:tab/>
        </w:r>
        <w:r>
          <w:rPr>
            <w:noProof/>
            <w:webHidden/>
          </w:rPr>
          <w:fldChar w:fldCharType="begin"/>
        </w:r>
        <w:r>
          <w:rPr>
            <w:noProof/>
            <w:webHidden/>
          </w:rPr>
          <w:instrText xml:space="preserve"> PAGEREF _Toc482815554 \h </w:instrText>
        </w:r>
        <w:r>
          <w:rPr>
            <w:noProof/>
            <w:webHidden/>
          </w:rPr>
        </w:r>
        <w:r>
          <w:rPr>
            <w:noProof/>
            <w:webHidden/>
          </w:rPr>
          <w:fldChar w:fldCharType="separate"/>
        </w:r>
        <w:r>
          <w:rPr>
            <w:noProof/>
            <w:webHidden/>
          </w:rPr>
          <w:t>8</w:t>
        </w:r>
        <w:r>
          <w:rPr>
            <w:noProof/>
            <w:webHidden/>
          </w:rPr>
          <w:fldChar w:fldCharType="end"/>
        </w:r>
      </w:hyperlink>
    </w:p>
    <w:p w14:paraId="6251E6A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55" w:history="1">
        <w:r w:rsidRPr="00C47DA9">
          <w:rPr>
            <w:rStyle w:val="Lienhypertexte"/>
            <w:noProof/>
          </w:rPr>
          <w:t>0.3.</w:t>
        </w:r>
        <w:r>
          <w:rPr>
            <w:rFonts w:asciiTheme="minorHAnsi" w:eastAsiaTheme="minorEastAsia" w:hAnsiTheme="minorHAnsi" w:cstheme="minorBidi"/>
            <w:smallCaps w:val="0"/>
            <w:noProof/>
            <w:sz w:val="22"/>
            <w:szCs w:val="22"/>
            <w:lang w:eastAsia="fr-BE"/>
          </w:rPr>
          <w:tab/>
        </w:r>
        <w:r w:rsidRPr="00C47DA9">
          <w:rPr>
            <w:rStyle w:val="Lienhypertexte"/>
            <w:noProof/>
          </w:rPr>
          <w:t>Horaire minimum de l’unité de formation</w:t>
        </w:r>
        <w:r>
          <w:rPr>
            <w:noProof/>
            <w:webHidden/>
          </w:rPr>
          <w:tab/>
        </w:r>
        <w:r>
          <w:rPr>
            <w:noProof/>
            <w:webHidden/>
          </w:rPr>
          <w:fldChar w:fldCharType="begin"/>
        </w:r>
        <w:r>
          <w:rPr>
            <w:noProof/>
            <w:webHidden/>
          </w:rPr>
          <w:instrText xml:space="preserve"> PAGEREF _Toc482815555 \h </w:instrText>
        </w:r>
        <w:r>
          <w:rPr>
            <w:noProof/>
            <w:webHidden/>
          </w:rPr>
        </w:r>
        <w:r>
          <w:rPr>
            <w:noProof/>
            <w:webHidden/>
          </w:rPr>
          <w:fldChar w:fldCharType="separate"/>
        </w:r>
        <w:r>
          <w:rPr>
            <w:noProof/>
            <w:webHidden/>
          </w:rPr>
          <w:t>8</w:t>
        </w:r>
        <w:r>
          <w:rPr>
            <w:noProof/>
            <w:webHidden/>
          </w:rPr>
          <w:fldChar w:fldCharType="end"/>
        </w:r>
      </w:hyperlink>
    </w:p>
    <w:p w14:paraId="7B0AE15E"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56" w:history="1">
        <w:r w:rsidRPr="00C47DA9">
          <w:rPr>
            <w:rStyle w:val="Lienhypertexte"/>
            <w:noProof/>
          </w:rPr>
          <w:t>0.4.</w:t>
        </w:r>
        <w:r>
          <w:rPr>
            <w:rFonts w:asciiTheme="minorHAnsi" w:eastAsiaTheme="minorEastAsia" w:hAnsiTheme="minorHAnsi" w:cstheme="minorBidi"/>
            <w:smallCaps w:val="0"/>
            <w:noProof/>
            <w:sz w:val="22"/>
            <w:szCs w:val="22"/>
            <w:lang w:eastAsia="fr-BE"/>
          </w:rPr>
          <w:tab/>
        </w:r>
        <w:r w:rsidRPr="00C47DA9">
          <w:rPr>
            <w:rStyle w:val="Lienhypertexte"/>
            <w:noProof/>
          </w:rPr>
          <w:t>CAPACITES TERMINALES</w:t>
        </w:r>
        <w:r>
          <w:rPr>
            <w:noProof/>
            <w:webHidden/>
          </w:rPr>
          <w:tab/>
        </w:r>
        <w:r>
          <w:rPr>
            <w:noProof/>
            <w:webHidden/>
          </w:rPr>
          <w:fldChar w:fldCharType="begin"/>
        </w:r>
        <w:r>
          <w:rPr>
            <w:noProof/>
            <w:webHidden/>
          </w:rPr>
          <w:instrText xml:space="preserve"> PAGEREF _Toc482815556 \h </w:instrText>
        </w:r>
        <w:r>
          <w:rPr>
            <w:noProof/>
            <w:webHidden/>
          </w:rPr>
        </w:r>
        <w:r>
          <w:rPr>
            <w:noProof/>
            <w:webHidden/>
          </w:rPr>
          <w:fldChar w:fldCharType="separate"/>
        </w:r>
        <w:r>
          <w:rPr>
            <w:noProof/>
            <w:webHidden/>
          </w:rPr>
          <w:t>8</w:t>
        </w:r>
        <w:r>
          <w:rPr>
            <w:noProof/>
            <w:webHidden/>
          </w:rPr>
          <w:fldChar w:fldCharType="end"/>
        </w:r>
      </w:hyperlink>
    </w:p>
    <w:p w14:paraId="6B74DCA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7" w:history="1">
        <w:r w:rsidRPr="00C47DA9">
          <w:rPr>
            <w:rStyle w:val="Lienhypertexte"/>
            <w:noProof/>
          </w:rPr>
          <w:t>0.4.1.</w:t>
        </w:r>
        <w:r>
          <w:rPr>
            <w:rFonts w:asciiTheme="minorHAnsi" w:eastAsiaTheme="minorEastAsia" w:hAnsiTheme="minorHAnsi" w:cstheme="minorBidi"/>
            <w:i w:val="0"/>
            <w:iCs w:val="0"/>
            <w:noProof/>
            <w:sz w:val="22"/>
            <w:szCs w:val="22"/>
            <w:lang w:eastAsia="fr-BE"/>
          </w:rPr>
          <w:tab/>
        </w:r>
        <w:r w:rsidRPr="00C47DA9">
          <w:rPr>
            <w:rStyle w:val="Lienhypertexte"/>
            <w:noProof/>
          </w:rPr>
          <w:t>Pour atteindre le seuil de réussite, l'étudiant sera capable :</w:t>
        </w:r>
        <w:r>
          <w:rPr>
            <w:noProof/>
            <w:webHidden/>
          </w:rPr>
          <w:tab/>
        </w:r>
        <w:r>
          <w:rPr>
            <w:noProof/>
            <w:webHidden/>
          </w:rPr>
          <w:fldChar w:fldCharType="begin"/>
        </w:r>
        <w:r>
          <w:rPr>
            <w:noProof/>
            <w:webHidden/>
          </w:rPr>
          <w:instrText xml:space="preserve"> PAGEREF _Toc482815557 \h </w:instrText>
        </w:r>
        <w:r>
          <w:rPr>
            <w:noProof/>
            <w:webHidden/>
          </w:rPr>
        </w:r>
        <w:r>
          <w:rPr>
            <w:noProof/>
            <w:webHidden/>
          </w:rPr>
          <w:fldChar w:fldCharType="separate"/>
        </w:r>
        <w:r>
          <w:rPr>
            <w:noProof/>
            <w:webHidden/>
          </w:rPr>
          <w:t>8</w:t>
        </w:r>
        <w:r>
          <w:rPr>
            <w:noProof/>
            <w:webHidden/>
          </w:rPr>
          <w:fldChar w:fldCharType="end"/>
        </w:r>
      </w:hyperlink>
    </w:p>
    <w:p w14:paraId="7D41656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58" w:history="1">
        <w:r w:rsidRPr="00C47DA9">
          <w:rPr>
            <w:rStyle w:val="Lienhypertexte"/>
            <w:noProof/>
          </w:rPr>
          <w:t>0.4.2.</w:t>
        </w:r>
        <w:r>
          <w:rPr>
            <w:rFonts w:asciiTheme="minorHAnsi" w:eastAsiaTheme="minorEastAsia" w:hAnsiTheme="minorHAnsi" w:cstheme="minorBidi"/>
            <w:i w:val="0"/>
            <w:iCs w:val="0"/>
            <w:noProof/>
            <w:sz w:val="22"/>
            <w:szCs w:val="22"/>
            <w:lang w:eastAsia="fr-BE"/>
          </w:rPr>
          <w:tab/>
        </w:r>
        <w:r w:rsidRPr="00C47DA9">
          <w:rPr>
            <w:rStyle w:val="Lienhypertexte"/>
            <w:noProof/>
          </w:rPr>
          <w:t>Pour la détermination du degré de maîtrise, il sera tenu compte des critères suivants :</w:t>
        </w:r>
        <w:r>
          <w:rPr>
            <w:noProof/>
            <w:webHidden/>
          </w:rPr>
          <w:tab/>
        </w:r>
        <w:r>
          <w:rPr>
            <w:noProof/>
            <w:webHidden/>
          </w:rPr>
          <w:fldChar w:fldCharType="begin"/>
        </w:r>
        <w:r>
          <w:rPr>
            <w:noProof/>
            <w:webHidden/>
          </w:rPr>
          <w:instrText xml:space="preserve"> PAGEREF _Toc482815558 \h </w:instrText>
        </w:r>
        <w:r>
          <w:rPr>
            <w:noProof/>
            <w:webHidden/>
          </w:rPr>
        </w:r>
        <w:r>
          <w:rPr>
            <w:noProof/>
            <w:webHidden/>
          </w:rPr>
          <w:fldChar w:fldCharType="separate"/>
        </w:r>
        <w:r>
          <w:rPr>
            <w:noProof/>
            <w:webHidden/>
          </w:rPr>
          <w:t>8</w:t>
        </w:r>
        <w:r>
          <w:rPr>
            <w:noProof/>
            <w:webHidden/>
          </w:rPr>
          <w:fldChar w:fldCharType="end"/>
        </w:r>
      </w:hyperlink>
    </w:p>
    <w:p w14:paraId="50DC1AED"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59" w:history="1">
        <w:r w:rsidRPr="00C47DA9">
          <w:rPr>
            <w:rStyle w:val="Lienhypertexte"/>
            <w:noProof/>
          </w:rPr>
          <w:t>0.5.</w:t>
        </w:r>
        <w:r>
          <w:rPr>
            <w:rFonts w:asciiTheme="minorHAnsi" w:eastAsiaTheme="minorEastAsia" w:hAnsiTheme="minorHAnsi" w:cstheme="minorBidi"/>
            <w:smallCaps w:val="0"/>
            <w:noProof/>
            <w:sz w:val="22"/>
            <w:szCs w:val="22"/>
            <w:lang w:eastAsia="fr-BE"/>
          </w:rPr>
          <w:tab/>
        </w:r>
        <w:r w:rsidRPr="00C47DA9">
          <w:rPr>
            <w:rStyle w:val="Lienhypertexte"/>
            <w:noProof/>
          </w:rPr>
          <w:t>Système d’évaluation continue et organisation de l’examen</w:t>
        </w:r>
        <w:r>
          <w:rPr>
            <w:noProof/>
            <w:webHidden/>
          </w:rPr>
          <w:tab/>
        </w:r>
        <w:r>
          <w:rPr>
            <w:noProof/>
            <w:webHidden/>
          </w:rPr>
          <w:fldChar w:fldCharType="begin"/>
        </w:r>
        <w:r>
          <w:rPr>
            <w:noProof/>
            <w:webHidden/>
          </w:rPr>
          <w:instrText xml:space="preserve"> PAGEREF _Toc482815559 \h </w:instrText>
        </w:r>
        <w:r>
          <w:rPr>
            <w:noProof/>
            <w:webHidden/>
          </w:rPr>
        </w:r>
        <w:r>
          <w:rPr>
            <w:noProof/>
            <w:webHidden/>
          </w:rPr>
          <w:fldChar w:fldCharType="separate"/>
        </w:r>
        <w:r>
          <w:rPr>
            <w:noProof/>
            <w:webHidden/>
          </w:rPr>
          <w:t>9</w:t>
        </w:r>
        <w:r>
          <w:rPr>
            <w:noProof/>
            <w:webHidden/>
          </w:rPr>
          <w:fldChar w:fldCharType="end"/>
        </w:r>
      </w:hyperlink>
    </w:p>
    <w:p w14:paraId="2701CF5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0" w:history="1">
        <w:r w:rsidRPr="00C47DA9">
          <w:rPr>
            <w:rStyle w:val="Lienhypertexte"/>
            <w:noProof/>
          </w:rPr>
          <w:t>0.5.1.</w:t>
        </w:r>
        <w:r>
          <w:rPr>
            <w:rFonts w:asciiTheme="minorHAnsi" w:eastAsiaTheme="minorEastAsia" w:hAnsiTheme="minorHAnsi" w:cstheme="minorBidi"/>
            <w:i w:val="0"/>
            <w:iCs w:val="0"/>
            <w:noProof/>
            <w:sz w:val="22"/>
            <w:szCs w:val="22"/>
            <w:lang w:eastAsia="fr-BE"/>
          </w:rPr>
          <w:tab/>
        </w:r>
        <w:r w:rsidRPr="00C47DA9">
          <w:rPr>
            <w:rStyle w:val="Lienhypertexte"/>
            <w:noProof/>
          </w:rPr>
          <w:t>Évaluation continue</w:t>
        </w:r>
        <w:r>
          <w:rPr>
            <w:noProof/>
            <w:webHidden/>
          </w:rPr>
          <w:tab/>
        </w:r>
        <w:r>
          <w:rPr>
            <w:noProof/>
            <w:webHidden/>
          </w:rPr>
          <w:fldChar w:fldCharType="begin"/>
        </w:r>
        <w:r>
          <w:rPr>
            <w:noProof/>
            <w:webHidden/>
          </w:rPr>
          <w:instrText xml:space="preserve"> PAGEREF _Toc482815560 \h </w:instrText>
        </w:r>
        <w:r>
          <w:rPr>
            <w:noProof/>
            <w:webHidden/>
          </w:rPr>
        </w:r>
        <w:r>
          <w:rPr>
            <w:noProof/>
            <w:webHidden/>
          </w:rPr>
          <w:fldChar w:fldCharType="separate"/>
        </w:r>
        <w:r>
          <w:rPr>
            <w:noProof/>
            <w:webHidden/>
          </w:rPr>
          <w:t>9</w:t>
        </w:r>
        <w:r>
          <w:rPr>
            <w:noProof/>
            <w:webHidden/>
          </w:rPr>
          <w:fldChar w:fldCharType="end"/>
        </w:r>
      </w:hyperlink>
    </w:p>
    <w:p w14:paraId="0B7BFCE6"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1" w:history="1">
        <w:r w:rsidRPr="00C47DA9">
          <w:rPr>
            <w:rStyle w:val="Lienhypertexte"/>
            <w:noProof/>
          </w:rPr>
          <w:t>0.5.2.</w:t>
        </w:r>
        <w:r>
          <w:rPr>
            <w:rFonts w:asciiTheme="minorHAnsi" w:eastAsiaTheme="minorEastAsia" w:hAnsiTheme="minorHAnsi" w:cstheme="minorBidi"/>
            <w:i w:val="0"/>
            <w:iCs w:val="0"/>
            <w:noProof/>
            <w:sz w:val="22"/>
            <w:szCs w:val="22"/>
            <w:lang w:eastAsia="fr-BE"/>
          </w:rPr>
          <w:tab/>
        </w:r>
        <w:r w:rsidRPr="00C47DA9">
          <w:rPr>
            <w:rStyle w:val="Lienhypertexte"/>
            <w:noProof/>
          </w:rPr>
          <w:t>Évaluation certificative</w:t>
        </w:r>
        <w:r>
          <w:rPr>
            <w:noProof/>
            <w:webHidden/>
          </w:rPr>
          <w:tab/>
        </w:r>
        <w:r>
          <w:rPr>
            <w:noProof/>
            <w:webHidden/>
          </w:rPr>
          <w:fldChar w:fldCharType="begin"/>
        </w:r>
        <w:r>
          <w:rPr>
            <w:noProof/>
            <w:webHidden/>
          </w:rPr>
          <w:instrText xml:space="preserve"> PAGEREF _Toc482815561 \h </w:instrText>
        </w:r>
        <w:r>
          <w:rPr>
            <w:noProof/>
            <w:webHidden/>
          </w:rPr>
        </w:r>
        <w:r>
          <w:rPr>
            <w:noProof/>
            <w:webHidden/>
          </w:rPr>
          <w:fldChar w:fldCharType="separate"/>
        </w:r>
        <w:r>
          <w:rPr>
            <w:noProof/>
            <w:webHidden/>
          </w:rPr>
          <w:t>9</w:t>
        </w:r>
        <w:r>
          <w:rPr>
            <w:noProof/>
            <w:webHidden/>
          </w:rPr>
          <w:fldChar w:fldCharType="end"/>
        </w:r>
      </w:hyperlink>
    </w:p>
    <w:p w14:paraId="2EA1B130"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562" w:history="1">
        <w:r w:rsidRPr="00C47DA9">
          <w:rPr>
            <w:rStyle w:val="Lienhypertexte"/>
            <w:noProof/>
          </w:rPr>
          <w:t>1.</w:t>
        </w:r>
        <w:r>
          <w:rPr>
            <w:rFonts w:asciiTheme="minorHAnsi" w:eastAsiaTheme="minorEastAsia" w:hAnsiTheme="minorHAnsi" w:cstheme="minorBidi"/>
            <w:b w:val="0"/>
            <w:bCs w:val="0"/>
            <w:caps w:val="0"/>
            <w:noProof/>
            <w:sz w:val="22"/>
            <w:szCs w:val="22"/>
            <w:lang w:eastAsia="fr-BE"/>
          </w:rPr>
          <w:tab/>
        </w:r>
        <w:r w:rsidRPr="00C47DA9">
          <w:rPr>
            <w:rStyle w:val="Lienhypertexte"/>
            <w:noProof/>
          </w:rPr>
          <w:t>Généralités</w:t>
        </w:r>
        <w:r>
          <w:rPr>
            <w:noProof/>
            <w:webHidden/>
          </w:rPr>
          <w:tab/>
        </w:r>
        <w:r>
          <w:rPr>
            <w:noProof/>
            <w:webHidden/>
          </w:rPr>
          <w:fldChar w:fldCharType="begin"/>
        </w:r>
        <w:r>
          <w:rPr>
            <w:noProof/>
            <w:webHidden/>
          </w:rPr>
          <w:instrText xml:space="preserve"> PAGEREF _Toc482815562 \h </w:instrText>
        </w:r>
        <w:r>
          <w:rPr>
            <w:noProof/>
            <w:webHidden/>
          </w:rPr>
        </w:r>
        <w:r>
          <w:rPr>
            <w:noProof/>
            <w:webHidden/>
          </w:rPr>
          <w:fldChar w:fldCharType="separate"/>
        </w:r>
        <w:r>
          <w:rPr>
            <w:noProof/>
            <w:webHidden/>
          </w:rPr>
          <w:t>10</w:t>
        </w:r>
        <w:r>
          <w:rPr>
            <w:noProof/>
            <w:webHidden/>
          </w:rPr>
          <w:fldChar w:fldCharType="end"/>
        </w:r>
      </w:hyperlink>
    </w:p>
    <w:p w14:paraId="0C1749AB"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63" w:history="1">
        <w:r w:rsidRPr="00C47DA9">
          <w:rPr>
            <w:rStyle w:val="Lienhypertexte"/>
            <w:noProof/>
          </w:rPr>
          <w:t>1.1.</w:t>
        </w:r>
        <w:r>
          <w:rPr>
            <w:rFonts w:asciiTheme="minorHAnsi" w:eastAsiaTheme="minorEastAsia" w:hAnsiTheme="minorHAnsi" w:cstheme="minorBidi"/>
            <w:smallCaps w:val="0"/>
            <w:noProof/>
            <w:sz w:val="22"/>
            <w:szCs w:val="22"/>
            <w:lang w:eastAsia="fr-BE"/>
          </w:rPr>
          <w:tab/>
        </w:r>
        <w:r w:rsidRPr="00C47DA9">
          <w:rPr>
            <w:rStyle w:val="Lienhypertexte"/>
            <w:noProof/>
          </w:rPr>
          <w:t>Divisions du droit</w:t>
        </w:r>
        <w:r>
          <w:rPr>
            <w:noProof/>
            <w:webHidden/>
          </w:rPr>
          <w:tab/>
        </w:r>
        <w:r>
          <w:rPr>
            <w:noProof/>
            <w:webHidden/>
          </w:rPr>
          <w:fldChar w:fldCharType="begin"/>
        </w:r>
        <w:r>
          <w:rPr>
            <w:noProof/>
            <w:webHidden/>
          </w:rPr>
          <w:instrText xml:space="preserve"> PAGEREF _Toc482815563 \h </w:instrText>
        </w:r>
        <w:r>
          <w:rPr>
            <w:noProof/>
            <w:webHidden/>
          </w:rPr>
        </w:r>
        <w:r>
          <w:rPr>
            <w:noProof/>
            <w:webHidden/>
          </w:rPr>
          <w:fldChar w:fldCharType="separate"/>
        </w:r>
        <w:r>
          <w:rPr>
            <w:noProof/>
            <w:webHidden/>
          </w:rPr>
          <w:t>11</w:t>
        </w:r>
        <w:r>
          <w:rPr>
            <w:noProof/>
            <w:webHidden/>
          </w:rPr>
          <w:fldChar w:fldCharType="end"/>
        </w:r>
      </w:hyperlink>
    </w:p>
    <w:p w14:paraId="7471E6A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4" w:history="1">
        <w:r w:rsidRPr="00C47DA9">
          <w:rPr>
            <w:rStyle w:val="Lienhypertexte"/>
            <w:noProof/>
          </w:rPr>
          <w:t>1.1.1.</w:t>
        </w:r>
        <w:r>
          <w:rPr>
            <w:rFonts w:asciiTheme="minorHAnsi" w:eastAsiaTheme="minorEastAsia" w:hAnsiTheme="minorHAnsi" w:cstheme="minorBidi"/>
            <w:i w:val="0"/>
            <w:iCs w:val="0"/>
            <w:noProof/>
            <w:sz w:val="22"/>
            <w:szCs w:val="22"/>
            <w:lang w:eastAsia="fr-BE"/>
          </w:rPr>
          <w:tab/>
        </w:r>
        <w:r w:rsidRPr="00C47DA9">
          <w:rPr>
            <w:rStyle w:val="Lienhypertexte"/>
            <w:noProof/>
          </w:rPr>
          <w:t>Droit privé</w:t>
        </w:r>
        <w:r>
          <w:rPr>
            <w:noProof/>
            <w:webHidden/>
          </w:rPr>
          <w:tab/>
        </w:r>
        <w:r>
          <w:rPr>
            <w:noProof/>
            <w:webHidden/>
          </w:rPr>
          <w:fldChar w:fldCharType="begin"/>
        </w:r>
        <w:r>
          <w:rPr>
            <w:noProof/>
            <w:webHidden/>
          </w:rPr>
          <w:instrText xml:space="preserve"> PAGEREF _Toc482815564 \h </w:instrText>
        </w:r>
        <w:r>
          <w:rPr>
            <w:noProof/>
            <w:webHidden/>
          </w:rPr>
        </w:r>
        <w:r>
          <w:rPr>
            <w:noProof/>
            <w:webHidden/>
          </w:rPr>
          <w:fldChar w:fldCharType="separate"/>
        </w:r>
        <w:r>
          <w:rPr>
            <w:noProof/>
            <w:webHidden/>
          </w:rPr>
          <w:t>11</w:t>
        </w:r>
        <w:r>
          <w:rPr>
            <w:noProof/>
            <w:webHidden/>
          </w:rPr>
          <w:fldChar w:fldCharType="end"/>
        </w:r>
      </w:hyperlink>
    </w:p>
    <w:p w14:paraId="50AB9EF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5" w:history="1">
        <w:r w:rsidRPr="00C47DA9">
          <w:rPr>
            <w:rStyle w:val="Lienhypertexte"/>
            <w:noProof/>
          </w:rPr>
          <w:t>1.1.2.</w:t>
        </w:r>
        <w:r>
          <w:rPr>
            <w:rFonts w:asciiTheme="minorHAnsi" w:eastAsiaTheme="minorEastAsia" w:hAnsiTheme="minorHAnsi" w:cstheme="minorBidi"/>
            <w:i w:val="0"/>
            <w:iCs w:val="0"/>
            <w:noProof/>
            <w:sz w:val="22"/>
            <w:szCs w:val="22"/>
            <w:lang w:eastAsia="fr-BE"/>
          </w:rPr>
          <w:tab/>
        </w:r>
        <w:r w:rsidRPr="00C47DA9">
          <w:rPr>
            <w:rStyle w:val="Lienhypertexte"/>
            <w:noProof/>
          </w:rPr>
          <w:t>Droit public</w:t>
        </w:r>
        <w:r>
          <w:rPr>
            <w:noProof/>
            <w:webHidden/>
          </w:rPr>
          <w:tab/>
        </w:r>
        <w:r>
          <w:rPr>
            <w:noProof/>
            <w:webHidden/>
          </w:rPr>
          <w:fldChar w:fldCharType="begin"/>
        </w:r>
        <w:r>
          <w:rPr>
            <w:noProof/>
            <w:webHidden/>
          </w:rPr>
          <w:instrText xml:space="preserve"> PAGEREF _Toc482815565 \h </w:instrText>
        </w:r>
        <w:r>
          <w:rPr>
            <w:noProof/>
            <w:webHidden/>
          </w:rPr>
        </w:r>
        <w:r>
          <w:rPr>
            <w:noProof/>
            <w:webHidden/>
          </w:rPr>
          <w:fldChar w:fldCharType="separate"/>
        </w:r>
        <w:r>
          <w:rPr>
            <w:noProof/>
            <w:webHidden/>
          </w:rPr>
          <w:t>11</w:t>
        </w:r>
        <w:r>
          <w:rPr>
            <w:noProof/>
            <w:webHidden/>
          </w:rPr>
          <w:fldChar w:fldCharType="end"/>
        </w:r>
      </w:hyperlink>
    </w:p>
    <w:p w14:paraId="62FD557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6" w:history="1">
        <w:r w:rsidRPr="00C47DA9">
          <w:rPr>
            <w:rStyle w:val="Lienhypertexte"/>
            <w:noProof/>
          </w:rPr>
          <w:t>1.1.3.</w:t>
        </w:r>
        <w:r>
          <w:rPr>
            <w:rFonts w:asciiTheme="minorHAnsi" w:eastAsiaTheme="minorEastAsia" w:hAnsiTheme="minorHAnsi" w:cstheme="minorBidi"/>
            <w:i w:val="0"/>
            <w:iCs w:val="0"/>
            <w:noProof/>
            <w:sz w:val="22"/>
            <w:szCs w:val="22"/>
            <w:lang w:eastAsia="fr-BE"/>
          </w:rPr>
          <w:tab/>
        </w:r>
        <w:r w:rsidRPr="00C47DA9">
          <w:rPr>
            <w:rStyle w:val="Lienhypertexte"/>
            <w:noProof/>
          </w:rPr>
          <w:t>Droit social</w:t>
        </w:r>
        <w:r>
          <w:rPr>
            <w:noProof/>
            <w:webHidden/>
          </w:rPr>
          <w:tab/>
        </w:r>
        <w:r>
          <w:rPr>
            <w:noProof/>
            <w:webHidden/>
          </w:rPr>
          <w:fldChar w:fldCharType="begin"/>
        </w:r>
        <w:r>
          <w:rPr>
            <w:noProof/>
            <w:webHidden/>
          </w:rPr>
          <w:instrText xml:space="preserve"> PAGEREF _Toc482815566 \h </w:instrText>
        </w:r>
        <w:r>
          <w:rPr>
            <w:noProof/>
            <w:webHidden/>
          </w:rPr>
        </w:r>
        <w:r>
          <w:rPr>
            <w:noProof/>
            <w:webHidden/>
          </w:rPr>
          <w:fldChar w:fldCharType="separate"/>
        </w:r>
        <w:r>
          <w:rPr>
            <w:noProof/>
            <w:webHidden/>
          </w:rPr>
          <w:t>11</w:t>
        </w:r>
        <w:r>
          <w:rPr>
            <w:noProof/>
            <w:webHidden/>
          </w:rPr>
          <w:fldChar w:fldCharType="end"/>
        </w:r>
      </w:hyperlink>
    </w:p>
    <w:p w14:paraId="2BC3E4B6"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67" w:history="1">
        <w:r w:rsidRPr="00C47DA9">
          <w:rPr>
            <w:rStyle w:val="Lienhypertexte"/>
            <w:noProof/>
          </w:rPr>
          <w:t>1.2.</w:t>
        </w:r>
        <w:r>
          <w:rPr>
            <w:rFonts w:asciiTheme="minorHAnsi" w:eastAsiaTheme="minorEastAsia" w:hAnsiTheme="minorHAnsi" w:cstheme="minorBidi"/>
            <w:smallCaps w:val="0"/>
            <w:noProof/>
            <w:sz w:val="22"/>
            <w:szCs w:val="22"/>
            <w:lang w:eastAsia="fr-BE"/>
          </w:rPr>
          <w:tab/>
        </w:r>
        <w:r w:rsidRPr="00C47DA9">
          <w:rPr>
            <w:rStyle w:val="Lienhypertexte"/>
            <w:noProof/>
          </w:rPr>
          <w:t>Structure des cours et tribunaux</w:t>
        </w:r>
        <w:r>
          <w:rPr>
            <w:noProof/>
            <w:webHidden/>
          </w:rPr>
          <w:tab/>
        </w:r>
        <w:r>
          <w:rPr>
            <w:noProof/>
            <w:webHidden/>
          </w:rPr>
          <w:fldChar w:fldCharType="begin"/>
        </w:r>
        <w:r>
          <w:rPr>
            <w:noProof/>
            <w:webHidden/>
          </w:rPr>
          <w:instrText xml:space="preserve"> PAGEREF _Toc482815567 \h </w:instrText>
        </w:r>
        <w:r>
          <w:rPr>
            <w:noProof/>
            <w:webHidden/>
          </w:rPr>
        </w:r>
        <w:r>
          <w:rPr>
            <w:noProof/>
            <w:webHidden/>
          </w:rPr>
          <w:fldChar w:fldCharType="separate"/>
        </w:r>
        <w:r>
          <w:rPr>
            <w:noProof/>
            <w:webHidden/>
          </w:rPr>
          <w:t>11</w:t>
        </w:r>
        <w:r>
          <w:rPr>
            <w:noProof/>
            <w:webHidden/>
          </w:rPr>
          <w:fldChar w:fldCharType="end"/>
        </w:r>
      </w:hyperlink>
    </w:p>
    <w:p w14:paraId="1529DBF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8" w:history="1">
        <w:r w:rsidRPr="00C47DA9">
          <w:rPr>
            <w:rStyle w:val="Lienhypertexte"/>
            <w:rFonts w:ascii="Trebuchet MS" w:hAnsi="Trebuchet MS"/>
            <w:noProof/>
          </w:rPr>
          <w:t>1.2.1.</w:t>
        </w:r>
        <w:r>
          <w:rPr>
            <w:rFonts w:asciiTheme="minorHAnsi" w:eastAsiaTheme="minorEastAsia" w:hAnsiTheme="minorHAnsi" w:cstheme="minorBidi"/>
            <w:i w:val="0"/>
            <w:iCs w:val="0"/>
            <w:noProof/>
            <w:sz w:val="22"/>
            <w:szCs w:val="22"/>
            <w:lang w:eastAsia="fr-BE"/>
          </w:rPr>
          <w:tab/>
        </w:r>
        <w:r w:rsidRPr="00C47DA9">
          <w:rPr>
            <w:rStyle w:val="Lienhypertexte"/>
            <w:rFonts w:ascii="Trebuchet MS" w:hAnsi="Trebuchet MS"/>
            <w:noProof/>
          </w:rPr>
          <w:t>Conseil d'Etat</w:t>
        </w:r>
        <w:r>
          <w:rPr>
            <w:noProof/>
            <w:webHidden/>
          </w:rPr>
          <w:tab/>
        </w:r>
        <w:r>
          <w:rPr>
            <w:noProof/>
            <w:webHidden/>
          </w:rPr>
          <w:fldChar w:fldCharType="begin"/>
        </w:r>
        <w:r>
          <w:rPr>
            <w:noProof/>
            <w:webHidden/>
          </w:rPr>
          <w:instrText xml:space="preserve"> PAGEREF _Toc482815568 \h </w:instrText>
        </w:r>
        <w:r>
          <w:rPr>
            <w:noProof/>
            <w:webHidden/>
          </w:rPr>
        </w:r>
        <w:r>
          <w:rPr>
            <w:noProof/>
            <w:webHidden/>
          </w:rPr>
          <w:fldChar w:fldCharType="separate"/>
        </w:r>
        <w:r>
          <w:rPr>
            <w:noProof/>
            <w:webHidden/>
          </w:rPr>
          <w:t>12</w:t>
        </w:r>
        <w:r>
          <w:rPr>
            <w:noProof/>
            <w:webHidden/>
          </w:rPr>
          <w:fldChar w:fldCharType="end"/>
        </w:r>
      </w:hyperlink>
    </w:p>
    <w:p w14:paraId="01E8F91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69" w:history="1">
        <w:r w:rsidRPr="00C47DA9">
          <w:rPr>
            <w:rStyle w:val="Lienhypertexte"/>
            <w:rFonts w:ascii="Trebuchet MS" w:hAnsi="Trebuchet MS"/>
            <w:noProof/>
          </w:rPr>
          <w:t>1.2.2.</w:t>
        </w:r>
        <w:r>
          <w:rPr>
            <w:rFonts w:asciiTheme="minorHAnsi" w:eastAsiaTheme="minorEastAsia" w:hAnsiTheme="minorHAnsi" w:cstheme="minorBidi"/>
            <w:i w:val="0"/>
            <w:iCs w:val="0"/>
            <w:noProof/>
            <w:sz w:val="22"/>
            <w:szCs w:val="22"/>
            <w:lang w:eastAsia="fr-BE"/>
          </w:rPr>
          <w:tab/>
        </w:r>
        <w:r w:rsidRPr="00C47DA9">
          <w:rPr>
            <w:rStyle w:val="Lienhypertexte"/>
            <w:rFonts w:ascii="Trebuchet MS" w:hAnsi="Trebuchet MS"/>
            <w:noProof/>
          </w:rPr>
          <w:t>Cour constitutionnelle</w:t>
        </w:r>
        <w:r>
          <w:rPr>
            <w:noProof/>
            <w:webHidden/>
          </w:rPr>
          <w:tab/>
        </w:r>
        <w:r>
          <w:rPr>
            <w:noProof/>
            <w:webHidden/>
          </w:rPr>
          <w:fldChar w:fldCharType="begin"/>
        </w:r>
        <w:r>
          <w:rPr>
            <w:noProof/>
            <w:webHidden/>
          </w:rPr>
          <w:instrText xml:space="preserve"> PAGEREF _Toc482815569 \h </w:instrText>
        </w:r>
        <w:r>
          <w:rPr>
            <w:noProof/>
            <w:webHidden/>
          </w:rPr>
        </w:r>
        <w:r>
          <w:rPr>
            <w:noProof/>
            <w:webHidden/>
          </w:rPr>
          <w:fldChar w:fldCharType="separate"/>
        </w:r>
        <w:r>
          <w:rPr>
            <w:noProof/>
            <w:webHidden/>
          </w:rPr>
          <w:t>13</w:t>
        </w:r>
        <w:r>
          <w:rPr>
            <w:noProof/>
            <w:webHidden/>
          </w:rPr>
          <w:fldChar w:fldCharType="end"/>
        </w:r>
      </w:hyperlink>
    </w:p>
    <w:p w14:paraId="61A79C39"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0" w:history="1">
        <w:r w:rsidRPr="00C47DA9">
          <w:rPr>
            <w:rStyle w:val="Lienhypertexte"/>
            <w:noProof/>
          </w:rPr>
          <w:t>1.3.</w:t>
        </w:r>
        <w:r>
          <w:rPr>
            <w:rFonts w:asciiTheme="minorHAnsi" w:eastAsiaTheme="minorEastAsia" w:hAnsiTheme="minorHAnsi" w:cstheme="minorBidi"/>
            <w:smallCaps w:val="0"/>
            <w:noProof/>
            <w:sz w:val="22"/>
            <w:szCs w:val="22"/>
            <w:lang w:eastAsia="fr-BE"/>
          </w:rPr>
          <w:tab/>
        </w:r>
        <w:r w:rsidRPr="00C47DA9">
          <w:rPr>
            <w:rStyle w:val="Lienhypertexte"/>
            <w:noProof/>
          </w:rPr>
          <w:t>Champ d’application</w:t>
        </w:r>
        <w:r>
          <w:rPr>
            <w:noProof/>
            <w:webHidden/>
          </w:rPr>
          <w:tab/>
        </w:r>
        <w:r>
          <w:rPr>
            <w:noProof/>
            <w:webHidden/>
          </w:rPr>
          <w:fldChar w:fldCharType="begin"/>
        </w:r>
        <w:r>
          <w:rPr>
            <w:noProof/>
            <w:webHidden/>
          </w:rPr>
          <w:instrText xml:space="preserve"> PAGEREF _Toc482815570 \h </w:instrText>
        </w:r>
        <w:r>
          <w:rPr>
            <w:noProof/>
            <w:webHidden/>
          </w:rPr>
        </w:r>
        <w:r>
          <w:rPr>
            <w:noProof/>
            <w:webHidden/>
          </w:rPr>
          <w:fldChar w:fldCharType="separate"/>
        </w:r>
        <w:r>
          <w:rPr>
            <w:noProof/>
            <w:webHidden/>
          </w:rPr>
          <w:t>13</w:t>
        </w:r>
        <w:r>
          <w:rPr>
            <w:noProof/>
            <w:webHidden/>
          </w:rPr>
          <w:fldChar w:fldCharType="end"/>
        </w:r>
      </w:hyperlink>
    </w:p>
    <w:p w14:paraId="76212680"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1" w:history="1">
        <w:r w:rsidRPr="00C47DA9">
          <w:rPr>
            <w:rStyle w:val="Lienhypertexte"/>
            <w:noProof/>
          </w:rPr>
          <w:t>1.4.</w:t>
        </w:r>
        <w:r>
          <w:rPr>
            <w:rFonts w:asciiTheme="minorHAnsi" w:eastAsiaTheme="minorEastAsia" w:hAnsiTheme="minorHAnsi" w:cstheme="minorBidi"/>
            <w:smallCaps w:val="0"/>
            <w:noProof/>
            <w:sz w:val="22"/>
            <w:szCs w:val="22"/>
            <w:lang w:eastAsia="fr-BE"/>
          </w:rPr>
          <w:tab/>
        </w:r>
        <w:r w:rsidRPr="00C47DA9">
          <w:rPr>
            <w:rStyle w:val="Lienhypertexte"/>
            <w:noProof/>
          </w:rPr>
          <w:t>Sources</w:t>
        </w:r>
        <w:r>
          <w:rPr>
            <w:noProof/>
            <w:webHidden/>
          </w:rPr>
          <w:tab/>
        </w:r>
        <w:r>
          <w:rPr>
            <w:noProof/>
            <w:webHidden/>
          </w:rPr>
          <w:fldChar w:fldCharType="begin"/>
        </w:r>
        <w:r>
          <w:rPr>
            <w:noProof/>
            <w:webHidden/>
          </w:rPr>
          <w:instrText xml:space="preserve"> PAGEREF _Toc482815571 \h </w:instrText>
        </w:r>
        <w:r>
          <w:rPr>
            <w:noProof/>
            <w:webHidden/>
          </w:rPr>
        </w:r>
        <w:r>
          <w:rPr>
            <w:noProof/>
            <w:webHidden/>
          </w:rPr>
          <w:fldChar w:fldCharType="separate"/>
        </w:r>
        <w:r>
          <w:rPr>
            <w:noProof/>
            <w:webHidden/>
          </w:rPr>
          <w:t>14</w:t>
        </w:r>
        <w:r>
          <w:rPr>
            <w:noProof/>
            <w:webHidden/>
          </w:rPr>
          <w:fldChar w:fldCharType="end"/>
        </w:r>
      </w:hyperlink>
    </w:p>
    <w:p w14:paraId="70CEEDA4"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2" w:history="1">
        <w:r w:rsidRPr="00C47DA9">
          <w:rPr>
            <w:rStyle w:val="Lienhypertexte"/>
            <w:noProof/>
          </w:rPr>
          <w:t>1.5.</w:t>
        </w:r>
        <w:r>
          <w:rPr>
            <w:rFonts w:asciiTheme="minorHAnsi" w:eastAsiaTheme="minorEastAsia" w:hAnsiTheme="minorHAnsi" w:cstheme="minorBidi"/>
            <w:smallCaps w:val="0"/>
            <w:noProof/>
            <w:sz w:val="22"/>
            <w:szCs w:val="22"/>
            <w:lang w:eastAsia="fr-BE"/>
          </w:rPr>
          <w:tab/>
        </w:r>
        <w:r w:rsidRPr="00C47DA9">
          <w:rPr>
            <w:rStyle w:val="Lienhypertexte"/>
            <w:noProof/>
          </w:rPr>
          <w:t>Liens avec le droit civil</w:t>
        </w:r>
        <w:r>
          <w:rPr>
            <w:noProof/>
            <w:webHidden/>
          </w:rPr>
          <w:tab/>
        </w:r>
        <w:r>
          <w:rPr>
            <w:noProof/>
            <w:webHidden/>
          </w:rPr>
          <w:fldChar w:fldCharType="begin"/>
        </w:r>
        <w:r>
          <w:rPr>
            <w:noProof/>
            <w:webHidden/>
          </w:rPr>
          <w:instrText xml:space="preserve"> PAGEREF _Toc482815572 \h </w:instrText>
        </w:r>
        <w:r>
          <w:rPr>
            <w:noProof/>
            <w:webHidden/>
          </w:rPr>
        </w:r>
        <w:r>
          <w:rPr>
            <w:noProof/>
            <w:webHidden/>
          </w:rPr>
          <w:fldChar w:fldCharType="separate"/>
        </w:r>
        <w:r>
          <w:rPr>
            <w:noProof/>
            <w:webHidden/>
          </w:rPr>
          <w:t>14</w:t>
        </w:r>
        <w:r>
          <w:rPr>
            <w:noProof/>
            <w:webHidden/>
          </w:rPr>
          <w:fldChar w:fldCharType="end"/>
        </w:r>
      </w:hyperlink>
    </w:p>
    <w:p w14:paraId="4D7F910E"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3" w:history="1">
        <w:r w:rsidRPr="00C47DA9">
          <w:rPr>
            <w:rStyle w:val="Lienhypertexte"/>
            <w:noProof/>
          </w:rPr>
          <w:t>1.6.</w:t>
        </w:r>
        <w:r>
          <w:rPr>
            <w:rFonts w:asciiTheme="minorHAnsi" w:eastAsiaTheme="minorEastAsia" w:hAnsiTheme="minorHAnsi" w:cstheme="minorBidi"/>
            <w:smallCaps w:val="0"/>
            <w:noProof/>
            <w:sz w:val="22"/>
            <w:szCs w:val="22"/>
            <w:lang w:eastAsia="fr-BE"/>
          </w:rPr>
          <w:tab/>
        </w:r>
        <w:r w:rsidRPr="00C47DA9">
          <w:rPr>
            <w:rStyle w:val="Lienhypertexte"/>
            <w:noProof/>
          </w:rPr>
          <w:t>Compétence des tribunaux de commerce</w:t>
        </w:r>
        <w:r>
          <w:rPr>
            <w:noProof/>
            <w:webHidden/>
          </w:rPr>
          <w:tab/>
        </w:r>
        <w:r>
          <w:rPr>
            <w:noProof/>
            <w:webHidden/>
          </w:rPr>
          <w:fldChar w:fldCharType="begin"/>
        </w:r>
        <w:r>
          <w:rPr>
            <w:noProof/>
            <w:webHidden/>
          </w:rPr>
          <w:instrText xml:space="preserve"> PAGEREF _Toc482815573 \h </w:instrText>
        </w:r>
        <w:r>
          <w:rPr>
            <w:noProof/>
            <w:webHidden/>
          </w:rPr>
        </w:r>
        <w:r>
          <w:rPr>
            <w:noProof/>
            <w:webHidden/>
          </w:rPr>
          <w:fldChar w:fldCharType="separate"/>
        </w:r>
        <w:r>
          <w:rPr>
            <w:noProof/>
            <w:webHidden/>
          </w:rPr>
          <w:t>15</w:t>
        </w:r>
        <w:r>
          <w:rPr>
            <w:noProof/>
            <w:webHidden/>
          </w:rPr>
          <w:fldChar w:fldCharType="end"/>
        </w:r>
      </w:hyperlink>
    </w:p>
    <w:p w14:paraId="31ECB641"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4" w:history="1">
        <w:r w:rsidRPr="00C47DA9">
          <w:rPr>
            <w:rStyle w:val="Lienhypertexte"/>
            <w:noProof/>
          </w:rPr>
          <w:t>1.7.</w:t>
        </w:r>
        <w:r>
          <w:rPr>
            <w:rFonts w:asciiTheme="minorHAnsi" w:eastAsiaTheme="minorEastAsia" w:hAnsiTheme="minorHAnsi" w:cstheme="minorBidi"/>
            <w:smallCaps w:val="0"/>
            <w:noProof/>
            <w:sz w:val="22"/>
            <w:szCs w:val="22"/>
            <w:lang w:eastAsia="fr-BE"/>
          </w:rPr>
          <w:tab/>
        </w:r>
        <w:r w:rsidRPr="00C47DA9">
          <w:rPr>
            <w:rStyle w:val="Lienhypertexte"/>
            <w:noProof/>
          </w:rPr>
          <w:t>Conception objective et conception subjective du droit</w:t>
        </w:r>
        <w:r>
          <w:rPr>
            <w:noProof/>
            <w:webHidden/>
          </w:rPr>
          <w:tab/>
        </w:r>
        <w:r>
          <w:rPr>
            <w:noProof/>
            <w:webHidden/>
          </w:rPr>
          <w:fldChar w:fldCharType="begin"/>
        </w:r>
        <w:r>
          <w:rPr>
            <w:noProof/>
            <w:webHidden/>
          </w:rPr>
          <w:instrText xml:space="preserve"> PAGEREF _Toc482815574 \h </w:instrText>
        </w:r>
        <w:r>
          <w:rPr>
            <w:noProof/>
            <w:webHidden/>
          </w:rPr>
        </w:r>
        <w:r>
          <w:rPr>
            <w:noProof/>
            <w:webHidden/>
          </w:rPr>
          <w:fldChar w:fldCharType="separate"/>
        </w:r>
        <w:r>
          <w:rPr>
            <w:noProof/>
            <w:webHidden/>
          </w:rPr>
          <w:t>15</w:t>
        </w:r>
        <w:r>
          <w:rPr>
            <w:noProof/>
            <w:webHidden/>
          </w:rPr>
          <w:fldChar w:fldCharType="end"/>
        </w:r>
      </w:hyperlink>
    </w:p>
    <w:p w14:paraId="6118B23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75" w:history="1">
        <w:r w:rsidRPr="00C47DA9">
          <w:rPr>
            <w:rStyle w:val="Lienhypertexte"/>
            <w:noProof/>
          </w:rPr>
          <w:t>1.7.1.</w:t>
        </w:r>
        <w:r>
          <w:rPr>
            <w:rFonts w:asciiTheme="minorHAnsi" w:eastAsiaTheme="minorEastAsia" w:hAnsiTheme="minorHAnsi" w:cstheme="minorBidi"/>
            <w:i w:val="0"/>
            <w:iCs w:val="0"/>
            <w:noProof/>
            <w:sz w:val="22"/>
            <w:szCs w:val="22"/>
            <w:lang w:eastAsia="fr-BE"/>
          </w:rPr>
          <w:tab/>
        </w:r>
        <w:r w:rsidRPr="00C47DA9">
          <w:rPr>
            <w:rStyle w:val="Lienhypertexte"/>
            <w:noProof/>
          </w:rPr>
          <w:t>Conception objective du droit</w:t>
        </w:r>
        <w:r>
          <w:rPr>
            <w:noProof/>
            <w:webHidden/>
          </w:rPr>
          <w:tab/>
        </w:r>
        <w:r>
          <w:rPr>
            <w:noProof/>
            <w:webHidden/>
          </w:rPr>
          <w:fldChar w:fldCharType="begin"/>
        </w:r>
        <w:r>
          <w:rPr>
            <w:noProof/>
            <w:webHidden/>
          </w:rPr>
          <w:instrText xml:space="preserve"> PAGEREF _Toc482815575 \h </w:instrText>
        </w:r>
        <w:r>
          <w:rPr>
            <w:noProof/>
            <w:webHidden/>
          </w:rPr>
        </w:r>
        <w:r>
          <w:rPr>
            <w:noProof/>
            <w:webHidden/>
          </w:rPr>
          <w:fldChar w:fldCharType="separate"/>
        </w:r>
        <w:r>
          <w:rPr>
            <w:noProof/>
            <w:webHidden/>
          </w:rPr>
          <w:t>15</w:t>
        </w:r>
        <w:r>
          <w:rPr>
            <w:noProof/>
            <w:webHidden/>
          </w:rPr>
          <w:fldChar w:fldCharType="end"/>
        </w:r>
      </w:hyperlink>
    </w:p>
    <w:p w14:paraId="0B7A5A6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76" w:history="1">
        <w:r w:rsidRPr="00C47DA9">
          <w:rPr>
            <w:rStyle w:val="Lienhypertexte"/>
            <w:noProof/>
          </w:rPr>
          <w:t>1.7.2.</w:t>
        </w:r>
        <w:r>
          <w:rPr>
            <w:rFonts w:asciiTheme="minorHAnsi" w:eastAsiaTheme="minorEastAsia" w:hAnsiTheme="minorHAnsi" w:cstheme="minorBidi"/>
            <w:i w:val="0"/>
            <w:iCs w:val="0"/>
            <w:noProof/>
            <w:sz w:val="22"/>
            <w:szCs w:val="22"/>
            <w:lang w:eastAsia="fr-BE"/>
          </w:rPr>
          <w:tab/>
        </w:r>
        <w:r w:rsidRPr="00C47DA9">
          <w:rPr>
            <w:rStyle w:val="Lienhypertexte"/>
            <w:noProof/>
          </w:rPr>
          <w:t>Conception subjective du droit</w:t>
        </w:r>
        <w:r>
          <w:rPr>
            <w:noProof/>
            <w:webHidden/>
          </w:rPr>
          <w:tab/>
        </w:r>
        <w:r>
          <w:rPr>
            <w:noProof/>
            <w:webHidden/>
          </w:rPr>
          <w:fldChar w:fldCharType="begin"/>
        </w:r>
        <w:r>
          <w:rPr>
            <w:noProof/>
            <w:webHidden/>
          </w:rPr>
          <w:instrText xml:space="preserve"> PAGEREF _Toc482815576 \h </w:instrText>
        </w:r>
        <w:r>
          <w:rPr>
            <w:noProof/>
            <w:webHidden/>
          </w:rPr>
        </w:r>
        <w:r>
          <w:rPr>
            <w:noProof/>
            <w:webHidden/>
          </w:rPr>
          <w:fldChar w:fldCharType="separate"/>
        </w:r>
        <w:r>
          <w:rPr>
            <w:noProof/>
            <w:webHidden/>
          </w:rPr>
          <w:t>15</w:t>
        </w:r>
        <w:r>
          <w:rPr>
            <w:noProof/>
            <w:webHidden/>
          </w:rPr>
          <w:fldChar w:fldCharType="end"/>
        </w:r>
      </w:hyperlink>
    </w:p>
    <w:p w14:paraId="6FE9DFA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7" w:history="1">
        <w:r w:rsidRPr="00C47DA9">
          <w:rPr>
            <w:rStyle w:val="Lienhypertexte"/>
            <w:noProof/>
          </w:rPr>
          <w:t>1.8.</w:t>
        </w:r>
        <w:r>
          <w:rPr>
            <w:rFonts w:asciiTheme="minorHAnsi" w:eastAsiaTheme="minorEastAsia" w:hAnsiTheme="minorHAnsi" w:cstheme="minorBidi"/>
            <w:smallCaps w:val="0"/>
            <w:noProof/>
            <w:sz w:val="22"/>
            <w:szCs w:val="22"/>
            <w:lang w:eastAsia="fr-BE"/>
          </w:rPr>
          <w:tab/>
        </w:r>
        <w:r w:rsidRPr="00C47DA9">
          <w:rPr>
            <w:rStyle w:val="Lienhypertexte"/>
            <w:noProof/>
          </w:rPr>
          <w:t>Bonus - Comparaison des régimes fiscaux en Belgique</w:t>
        </w:r>
        <w:r>
          <w:rPr>
            <w:noProof/>
            <w:webHidden/>
          </w:rPr>
          <w:tab/>
        </w:r>
        <w:r>
          <w:rPr>
            <w:noProof/>
            <w:webHidden/>
          </w:rPr>
          <w:fldChar w:fldCharType="begin"/>
        </w:r>
        <w:r>
          <w:rPr>
            <w:noProof/>
            <w:webHidden/>
          </w:rPr>
          <w:instrText xml:space="preserve"> PAGEREF _Toc482815577 \h </w:instrText>
        </w:r>
        <w:r>
          <w:rPr>
            <w:noProof/>
            <w:webHidden/>
          </w:rPr>
        </w:r>
        <w:r>
          <w:rPr>
            <w:noProof/>
            <w:webHidden/>
          </w:rPr>
          <w:fldChar w:fldCharType="separate"/>
        </w:r>
        <w:r>
          <w:rPr>
            <w:noProof/>
            <w:webHidden/>
          </w:rPr>
          <w:t>16</w:t>
        </w:r>
        <w:r>
          <w:rPr>
            <w:noProof/>
            <w:webHidden/>
          </w:rPr>
          <w:fldChar w:fldCharType="end"/>
        </w:r>
      </w:hyperlink>
    </w:p>
    <w:p w14:paraId="7A35EE25"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578" w:history="1">
        <w:r w:rsidRPr="00C47DA9">
          <w:rPr>
            <w:rStyle w:val="Lienhypertexte"/>
            <w:noProof/>
          </w:rPr>
          <w:t>2.</w:t>
        </w:r>
        <w:r>
          <w:rPr>
            <w:rFonts w:asciiTheme="minorHAnsi" w:eastAsiaTheme="minorEastAsia" w:hAnsiTheme="minorHAnsi" w:cstheme="minorBidi"/>
            <w:b w:val="0"/>
            <w:bCs w:val="0"/>
            <w:caps w:val="0"/>
            <w:noProof/>
            <w:sz w:val="22"/>
            <w:szCs w:val="22"/>
            <w:lang w:eastAsia="fr-BE"/>
          </w:rPr>
          <w:tab/>
        </w:r>
        <w:r w:rsidRPr="00C47DA9">
          <w:rPr>
            <w:rStyle w:val="Lienhypertexte"/>
            <w:noProof/>
          </w:rPr>
          <w:t>Principes fondamentaux du Code de commerce</w:t>
        </w:r>
        <w:r>
          <w:rPr>
            <w:noProof/>
            <w:webHidden/>
          </w:rPr>
          <w:tab/>
        </w:r>
        <w:r>
          <w:rPr>
            <w:noProof/>
            <w:webHidden/>
          </w:rPr>
          <w:fldChar w:fldCharType="begin"/>
        </w:r>
        <w:r>
          <w:rPr>
            <w:noProof/>
            <w:webHidden/>
          </w:rPr>
          <w:instrText xml:space="preserve"> PAGEREF _Toc482815578 \h </w:instrText>
        </w:r>
        <w:r>
          <w:rPr>
            <w:noProof/>
            <w:webHidden/>
          </w:rPr>
        </w:r>
        <w:r>
          <w:rPr>
            <w:noProof/>
            <w:webHidden/>
          </w:rPr>
          <w:fldChar w:fldCharType="separate"/>
        </w:r>
        <w:r>
          <w:rPr>
            <w:noProof/>
            <w:webHidden/>
          </w:rPr>
          <w:t>17</w:t>
        </w:r>
        <w:r>
          <w:rPr>
            <w:noProof/>
            <w:webHidden/>
          </w:rPr>
          <w:fldChar w:fldCharType="end"/>
        </w:r>
      </w:hyperlink>
    </w:p>
    <w:p w14:paraId="01FDF19D"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79" w:history="1">
        <w:r w:rsidRPr="00C47DA9">
          <w:rPr>
            <w:rStyle w:val="Lienhypertexte"/>
            <w:noProof/>
          </w:rPr>
          <w:t>2.1.</w:t>
        </w:r>
        <w:r>
          <w:rPr>
            <w:rFonts w:asciiTheme="minorHAnsi" w:eastAsiaTheme="minorEastAsia" w:hAnsiTheme="minorHAnsi" w:cstheme="minorBidi"/>
            <w:smallCaps w:val="0"/>
            <w:noProof/>
            <w:sz w:val="22"/>
            <w:szCs w:val="22"/>
            <w:lang w:eastAsia="fr-BE"/>
          </w:rPr>
          <w:tab/>
        </w:r>
        <w:r w:rsidRPr="00C47DA9">
          <w:rPr>
            <w:rStyle w:val="Lienhypertexte"/>
            <w:noProof/>
          </w:rPr>
          <w:t>Qualité de commerçant</w:t>
        </w:r>
        <w:r>
          <w:rPr>
            <w:noProof/>
            <w:webHidden/>
          </w:rPr>
          <w:tab/>
        </w:r>
        <w:r>
          <w:rPr>
            <w:noProof/>
            <w:webHidden/>
          </w:rPr>
          <w:fldChar w:fldCharType="begin"/>
        </w:r>
        <w:r>
          <w:rPr>
            <w:noProof/>
            <w:webHidden/>
          </w:rPr>
          <w:instrText xml:space="preserve"> PAGEREF _Toc482815579 \h </w:instrText>
        </w:r>
        <w:r>
          <w:rPr>
            <w:noProof/>
            <w:webHidden/>
          </w:rPr>
        </w:r>
        <w:r>
          <w:rPr>
            <w:noProof/>
            <w:webHidden/>
          </w:rPr>
          <w:fldChar w:fldCharType="separate"/>
        </w:r>
        <w:r>
          <w:rPr>
            <w:noProof/>
            <w:webHidden/>
          </w:rPr>
          <w:t>18</w:t>
        </w:r>
        <w:r>
          <w:rPr>
            <w:noProof/>
            <w:webHidden/>
          </w:rPr>
          <w:fldChar w:fldCharType="end"/>
        </w:r>
      </w:hyperlink>
    </w:p>
    <w:p w14:paraId="062AC45E"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80" w:history="1">
        <w:r w:rsidRPr="00C47DA9">
          <w:rPr>
            <w:rStyle w:val="Lienhypertexte"/>
            <w:noProof/>
          </w:rPr>
          <w:t>2.2.</w:t>
        </w:r>
        <w:r>
          <w:rPr>
            <w:rFonts w:asciiTheme="minorHAnsi" w:eastAsiaTheme="minorEastAsia" w:hAnsiTheme="minorHAnsi" w:cstheme="minorBidi"/>
            <w:smallCaps w:val="0"/>
            <w:noProof/>
            <w:sz w:val="22"/>
            <w:szCs w:val="22"/>
            <w:lang w:eastAsia="fr-BE"/>
          </w:rPr>
          <w:tab/>
        </w:r>
        <w:r w:rsidRPr="00C47DA9">
          <w:rPr>
            <w:rStyle w:val="Lienhypertexte"/>
            <w:noProof/>
          </w:rPr>
          <w:t>Actes de commerce</w:t>
        </w:r>
        <w:r>
          <w:rPr>
            <w:noProof/>
            <w:webHidden/>
          </w:rPr>
          <w:tab/>
        </w:r>
        <w:r>
          <w:rPr>
            <w:noProof/>
            <w:webHidden/>
          </w:rPr>
          <w:fldChar w:fldCharType="begin"/>
        </w:r>
        <w:r>
          <w:rPr>
            <w:noProof/>
            <w:webHidden/>
          </w:rPr>
          <w:instrText xml:space="preserve"> PAGEREF _Toc482815580 \h </w:instrText>
        </w:r>
        <w:r>
          <w:rPr>
            <w:noProof/>
            <w:webHidden/>
          </w:rPr>
        </w:r>
        <w:r>
          <w:rPr>
            <w:noProof/>
            <w:webHidden/>
          </w:rPr>
          <w:fldChar w:fldCharType="separate"/>
        </w:r>
        <w:r>
          <w:rPr>
            <w:noProof/>
            <w:webHidden/>
          </w:rPr>
          <w:t>18</w:t>
        </w:r>
        <w:r>
          <w:rPr>
            <w:noProof/>
            <w:webHidden/>
          </w:rPr>
          <w:fldChar w:fldCharType="end"/>
        </w:r>
      </w:hyperlink>
    </w:p>
    <w:p w14:paraId="31BC03B2"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81" w:history="1">
        <w:r w:rsidRPr="00C47DA9">
          <w:rPr>
            <w:rStyle w:val="Lienhypertexte"/>
            <w:noProof/>
          </w:rPr>
          <w:t>2.3.</w:t>
        </w:r>
        <w:r>
          <w:rPr>
            <w:rFonts w:asciiTheme="minorHAnsi" w:eastAsiaTheme="minorEastAsia" w:hAnsiTheme="minorHAnsi" w:cstheme="minorBidi"/>
            <w:smallCaps w:val="0"/>
            <w:noProof/>
            <w:sz w:val="22"/>
            <w:szCs w:val="22"/>
            <w:lang w:eastAsia="fr-BE"/>
          </w:rPr>
          <w:tab/>
        </w:r>
        <w:r w:rsidRPr="00C47DA9">
          <w:rPr>
            <w:rStyle w:val="Lienhypertexte"/>
            <w:noProof/>
          </w:rPr>
          <w:t>Les obligations propres au commerçant</w:t>
        </w:r>
        <w:r>
          <w:rPr>
            <w:noProof/>
            <w:webHidden/>
          </w:rPr>
          <w:tab/>
        </w:r>
        <w:r>
          <w:rPr>
            <w:noProof/>
            <w:webHidden/>
          </w:rPr>
          <w:fldChar w:fldCharType="begin"/>
        </w:r>
        <w:r>
          <w:rPr>
            <w:noProof/>
            <w:webHidden/>
          </w:rPr>
          <w:instrText xml:space="preserve"> PAGEREF _Toc482815581 \h </w:instrText>
        </w:r>
        <w:r>
          <w:rPr>
            <w:noProof/>
            <w:webHidden/>
          </w:rPr>
        </w:r>
        <w:r>
          <w:rPr>
            <w:noProof/>
            <w:webHidden/>
          </w:rPr>
          <w:fldChar w:fldCharType="separate"/>
        </w:r>
        <w:r>
          <w:rPr>
            <w:noProof/>
            <w:webHidden/>
          </w:rPr>
          <w:t>19</w:t>
        </w:r>
        <w:r>
          <w:rPr>
            <w:noProof/>
            <w:webHidden/>
          </w:rPr>
          <w:fldChar w:fldCharType="end"/>
        </w:r>
      </w:hyperlink>
    </w:p>
    <w:p w14:paraId="14E6A153"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82" w:history="1">
        <w:r w:rsidRPr="00C47DA9">
          <w:rPr>
            <w:rStyle w:val="Lienhypertexte"/>
            <w:noProof/>
          </w:rPr>
          <w:t>2.3.1.</w:t>
        </w:r>
        <w:r>
          <w:rPr>
            <w:rFonts w:asciiTheme="minorHAnsi" w:eastAsiaTheme="minorEastAsia" w:hAnsiTheme="minorHAnsi" w:cstheme="minorBidi"/>
            <w:i w:val="0"/>
            <w:iCs w:val="0"/>
            <w:noProof/>
            <w:sz w:val="22"/>
            <w:szCs w:val="22"/>
            <w:lang w:eastAsia="fr-BE"/>
          </w:rPr>
          <w:tab/>
        </w:r>
        <w:r w:rsidRPr="00C47DA9">
          <w:rPr>
            <w:rStyle w:val="Lienhypertexte"/>
            <w:noProof/>
          </w:rPr>
          <w:t>Conventions matrimoniales</w:t>
        </w:r>
        <w:r>
          <w:rPr>
            <w:noProof/>
            <w:webHidden/>
          </w:rPr>
          <w:tab/>
        </w:r>
        <w:r>
          <w:rPr>
            <w:noProof/>
            <w:webHidden/>
          </w:rPr>
          <w:fldChar w:fldCharType="begin"/>
        </w:r>
        <w:r>
          <w:rPr>
            <w:noProof/>
            <w:webHidden/>
          </w:rPr>
          <w:instrText xml:space="preserve"> PAGEREF _Toc482815582 \h </w:instrText>
        </w:r>
        <w:r>
          <w:rPr>
            <w:noProof/>
            <w:webHidden/>
          </w:rPr>
        </w:r>
        <w:r>
          <w:rPr>
            <w:noProof/>
            <w:webHidden/>
          </w:rPr>
          <w:fldChar w:fldCharType="separate"/>
        </w:r>
        <w:r>
          <w:rPr>
            <w:noProof/>
            <w:webHidden/>
          </w:rPr>
          <w:t>19</w:t>
        </w:r>
        <w:r>
          <w:rPr>
            <w:noProof/>
            <w:webHidden/>
          </w:rPr>
          <w:fldChar w:fldCharType="end"/>
        </w:r>
      </w:hyperlink>
    </w:p>
    <w:p w14:paraId="6EC79AE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83" w:history="1">
        <w:r w:rsidRPr="00C47DA9">
          <w:rPr>
            <w:rStyle w:val="Lienhypertexte"/>
            <w:noProof/>
          </w:rPr>
          <w:t>2.3.2.</w:t>
        </w:r>
        <w:r>
          <w:rPr>
            <w:rFonts w:asciiTheme="minorHAnsi" w:eastAsiaTheme="minorEastAsia" w:hAnsiTheme="minorHAnsi" w:cstheme="minorBidi"/>
            <w:i w:val="0"/>
            <w:iCs w:val="0"/>
            <w:noProof/>
            <w:sz w:val="22"/>
            <w:szCs w:val="22"/>
            <w:lang w:eastAsia="fr-BE"/>
          </w:rPr>
          <w:tab/>
        </w:r>
        <w:r w:rsidRPr="00C47DA9">
          <w:rPr>
            <w:rStyle w:val="Lienhypertexte"/>
            <w:noProof/>
          </w:rPr>
          <w:t>Documents comptables</w:t>
        </w:r>
        <w:r>
          <w:rPr>
            <w:noProof/>
            <w:webHidden/>
          </w:rPr>
          <w:tab/>
        </w:r>
        <w:r>
          <w:rPr>
            <w:noProof/>
            <w:webHidden/>
          </w:rPr>
          <w:fldChar w:fldCharType="begin"/>
        </w:r>
        <w:r>
          <w:rPr>
            <w:noProof/>
            <w:webHidden/>
          </w:rPr>
          <w:instrText xml:space="preserve"> PAGEREF _Toc482815583 \h </w:instrText>
        </w:r>
        <w:r>
          <w:rPr>
            <w:noProof/>
            <w:webHidden/>
          </w:rPr>
        </w:r>
        <w:r>
          <w:rPr>
            <w:noProof/>
            <w:webHidden/>
          </w:rPr>
          <w:fldChar w:fldCharType="separate"/>
        </w:r>
        <w:r>
          <w:rPr>
            <w:noProof/>
            <w:webHidden/>
          </w:rPr>
          <w:t>20</w:t>
        </w:r>
        <w:r>
          <w:rPr>
            <w:noProof/>
            <w:webHidden/>
          </w:rPr>
          <w:fldChar w:fldCharType="end"/>
        </w:r>
      </w:hyperlink>
    </w:p>
    <w:p w14:paraId="7A8F9BFC"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84" w:history="1">
        <w:r w:rsidRPr="00C47DA9">
          <w:rPr>
            <w:rStyle w:val="Lienhypertexte"/>
            <w:noProof/>
          </w:rPr>
          <w:t>2.3.3.</w:t>
        </w:r>
        <w:r>
          <w:rPr>
            <w:rFonts w:asciiTheme="minorHAnsi" w:eastAsiaTheme="minorEastAsia" w:hAnsiTheme="minorHAnsi" w:cstheme="minorBidi"/>
            <w:i w:val="0"/>
            <w:iCs w:val="0"/>
            <w:noProof/>
            <w:sz w:val="22"/>
            <w:szCs w:val="22"/>
            <w:lang w:eastAsia="fr-BE"/>
          </w:rPr>
          <w:tab/>
        </w:r>
        <w:r w:rsidRPr="00C47DA9">
          <w:rPr>
            <w:rStyle w:val="Lienhypertexte"/>
            <w:noProof/>
          </w:rPr>
          <w:t>Résumé</w:t>
        </w:r>
        <w:r>
          <w:rPr>
            <w:noProof/>
            <w:webHidden/>
          </w:rPr>
          <w:tab/>
        </w:r>
        <w:r>
          <w:rPr>
            <w:noProof/>
            <w:webHidden/>
          </w:rPr>
          <w:fldChar w:fldCharType="begin"/>
        </w:r>
        <w:r>
          <w:rPr>
            <w:noProof/>
            <w:webHidden/>
          </w:rPr>
          <w:instrText xml:space="preserve"> PAGEREF _Toc482815584 \h </w:instrText>
        </w:r>
        <w:r>
          <w:rPr>
            <w:noProof/>
            <w:webHidden/>
          </w:rPr>
        </w:r>
        <w:r>
          <w:rPr>
            <w:noProof/>
            <w:webHidden/>
          </w:rPr>
          <w:fldChar w:fldCharType="separate"/>
        </w:r>
        <w:r>
          <w:rPr>
            <w:noProof/>
            <w:webHidden/>
          </w:rPr>
          <w:t>21</w:t>
        </w:r>
        <w:r>
          <w:rPr>
            <w:noProof/>
            <w:webHidden/>
          </w:rPr>
          <w:fldChar w:fldCharType="end"/>
        </w:r>
      </w:hyperlink>
    </w:p>
    <w:p w14:paraId="7260189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85" w:history="1">
        <w:r w:rsidRPr="00C47DA9">
          <w:rPr>
            <w:rStyle w:val="Lienhypertexte"/>
            <w:noProof/>
          </w:rPr>
          <w:t>2.3.4.</w:t>
        </w:r>
        <w:r>
          <w:rPr>
            <w:rFonts w:asciiTheme="minorHAnsi" w:eastAsiaTheme="minorEastAsia" w:hAnsiTheme="minorHAnsi" w:cstheme="minorBidi"/>
            <w:i w:val="0"/>
            <w:iCs w:val="0"/>
            <w:noProof/>
            <w:sz w:val="22"/>
            <w:szCs w:val="22"/>
            <w:lang w:eastAsia="fr-BE"/>
          </w:rPr>
          <w:tab/>
        </w:r>
        <w:r w:rsidRPr="00C47DA9">
          <w:rPr>
            <w:rStyle w:val="Lienhypertexte"/>
            <w:noProof/>
          </w:rPr>
          <w:t>Rappel</w:t>
        </w:r>
        <w:r>
          <w:rPr>
            <w:noProof/>
            <w:webHidden/>
          </w:rPr>
          <w:tab/>
        </w:r>
        <w:r>
          <w:rPr>
            <w:noProof/>
            <w:webHidden/>
          </w:rPr>
          <w:fldChar w:fldCharType="begin"/>
        </w:r>
        <w:r>
          <w:rPr>
            <w:noProof/>
            <w:webHidden/>
          </w:rPr>
          <w:instrText xml:space="preserve"> PAGEREF _Toc482815585 \h </w:instrText>
        </w:r>
        <w:r>
          <w:rPr>
            <w:noProof/>
            <w:webHidden/>
          </w:rPr>
        </w:r>
        <w:r>
          <w:rPr>
            <w:noProof/>
            <w:webHidden/>
          </w:rPr>
          <w:fldChar w:fldCharType="separate"/>
        </w:r>
        <w:r>
          <w:rPr>
            <w:noProof/>
            <w:webHidden/>
          </w:rPr>
          <w:t>21</w:t>
        </w:r>
        <w:r>
          <w:rPr>
            <w:noProof/>
            <w:webHidden/>
          </w:rPr>
          <w:fldChar w:fldCharType="end"/>
        </w:r>
      </w:hyperlink>
    </w:p>
    <w:p w14:paraId="6B9C5768"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86" w:history="1">
        <w:r w:rsidRPr="00C47DA9">
          <w:rPr>
            <w:rStyle w:val="Lienhypertexte"/>
            <w:noProof/>
          </w:rPr>
          <w:t>2.4.</w:t>
        </w:r>
        <w:r>
          <w:rPr>
            <w:rFonts w:asciiTheme="minorHAnsi" w:eastAsiaTheme="minorEastAsia" w:hAnsiTheme="minorHAnsi" w:cstheme="minorBidi"/>
            <w:smallCaps w:val="0"/>
            <w:noProof/>
            <w:sz w:val="22"/>
            <w:szCs w:val="22"/>
            <w:lang w:eastAsia="fr-BE"/>
          </w:rPr>
          <w:tab/>
        </w:r>
        <w:r w:rsidRPr="00C47DA9">
          <w:rPr>
            <w:rStyle w:val="Lienhypertexte"/>
            <w:noProof/>
          </w:rPr>
          <w:t>La nature juridique du fonds de commerce, ses éléments constitutifs, les opérations y relatives</w:t>
        </w:r>
        <w:r>
          <w:rPr>
            <w:noProof/>
            <w:webHidden/>
          </w:rPr>
          <w:tab/>
        </w:r>
        <w:r>
          <w:rPr>
            <w:noProof/>
            <w:webHidden/>
          </w:rPr>
          <w:fldChar w:fldCharType="begin"/>
        </w:r>
        <w:r>
          <w:rPr>
            <w:noProof/>
            <w:webHidden/>
          </w:rPr>
          <w:instrText xml:space="preserve"> PAGEREF _Toc482815586 \h </w:instrText>
        </w:r>
        <w:r>
          <w:rPr>
            <w:noProof/>
            <w:webHidden/>
          </w:rPr>
        </w:r>
        <w:r>
          <w:rPr>
            <w:noProof/>
            <w:webHidden/>
          </w:rPr>
          <w:fldChar w:fldCharType="separate"/>
        </w:r>
        <w:r>
          <w:rPr>
            <w:noProof/>
            <w:webHidden/>
          </w:rPr>
          <w:t>21</w:t>
        </w:r>
        <w:r>
          <w:rPr>
            <w:noProof/>
            <w:webHidden/>
          </w:rPr>
          <w:fldChar w:fldCharType="end"/>
        </w:r>
      </w:hyperlink>
    </w:p>
    <w:p w14:paraId="67D2290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87" w:history="1">
        <w:r w:rsidRPr="00C47DA9">
          <w:rPr>
            <w:rStyle w:val="Lienhypertexte"/>
            <w:noProof/>
          </w:rPr>
          <w:t>2.5.</w:t>
        </w:r>
        <w:r>
          <w:rPr>
            <w:rFonts w:asciiTheme="minorHAnsi" w:eastAsiaTheme="minorEastAsia" w:hAnsiTheme="minorHAnsi" w:cstheme="minorBidi"/>
            <w:smallCaps w:val="0"/>
            <w:noProof/>
            <w:sz w:val="22"/>
            <w:szCs w:val="22"/>
            <w:lang w:eastAsia="fr-BE"/>
          </w:rPr>
          <w:tab/>
        </w:r>
        <w:r w:rsidRPr="00C47DA9">
          <w:rPr>
            <w:rStyle w:val="Lienhypertexte"/>
            <w:noProof/>
          </w:rPr>
          <w:t>Les modes de preuve en matière commerciale</w:t>
        </w:r>
        <w:r>
          <w:rPr>
            <w:noProof/>
            <w:webHidden/>
          </w:rPr>
          <w:tab/>
        </w:r>
        <w:r>
          <w:rPr>
            <w:noProof/>
            <w:webHidden/>
          </w:rPr>
          <w:fldChar w:fldCharType="begin"/>
        </w:r>
        <w:r>
          <w:rPr>
            <w:noProof/>
            <w:webHidden/>
          </w:rPr>
          <w:instrText xml:space="preserve"> PAGEREF _Toc482815587 \h </w:instrText>
        </w:r>
        <w:r>
          <w:rPr>
            <w:noProof/>
            <w:webHidden/>
          </w:rPr>
        </w:r>
        <w:r>
          <w:rPr>
            <w:noProof/>
            <w:webHidden/>
          </w:rPr>
          <w:fldChar w:fldCharType="separate"/>
        </w:r>
        <w:r>
          <w:rPr>
            <w:noProof/>
            <w:webHidden/>
          </w:rPr>
          <w:t>22</w:t>
        </w:r>
        <w:r>
          <w:rPr>
            <w:noProof/>
            <w:webHidden/>
          </w:rPr>
          <w:fldChar w:fldCharType="end"/>
        </w:r>
      </w:hyperlink>
    </w:p>
    <w:p w14:paraId="047D5302"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588" w:history="1">
        <w:r w:rsidRPr="00C47DA9">
          <w:rPr>
            <w:rStyle w:val="Lienhypertexte"/>
            <w:noProof/>
          </w:rPr>
          <w:t>3.</w:t>
        </w:r>
        <w:r>
          <w:rPr>
            <w:rFonts w:asciiTheme="minorHAnsi" w:eastAsiaTheme="minorEastAsia" w:hAnsiTheme="minorHAnsi" w:cstheme="minorBidi"/>
            <w:b w:val="0"/>
            <w:bCs w:val="0"/>
            <w:caps w:val="0"/>
            <w:noProof/>
            <w:sz w:val="22"/>
            <w:szCs w:val="22"/>
            <w:lang w:eastAsia="fr-BE"/>
          </w:rPr>
          <w:tab/>
        </w:r>
        <w:r w:rsidRPr="00C47DA9">
          <w:rPr>
            <w:rStyle w:val="Lienhypertexte"/>
            <w:noProof/>
          </w:rPr>
          <w:t>Moyens de paiement commerciaux</w:t>
        </w:r>
        <w:r>
          <w:rPr>
            <w:noProof/>
            <w:webHidden/>
          </w:rPr>
          <w:tab/>
        </w:r>
        <w:r>
          <w:rPr>
            <w:noProof/>
            <w:webHidden/>
          </w:rPr>
          <w:fldChar w:fldCharType="begin"/>
        </w:r>
        <w:r>
          <w:rPr>
            <w:noProof/>
            <w:webHidden/>
          </w:rPr>
          <w:instrText xml:space="preserve"> PAGEREF _Toc482815588 \h </w:instrText>
        </w:r>
        <w:r>
          <w:rPr>
            <w:noProof/>
            <w:webHidden/>
          </w:rPr>
        </w:r>
        <w:r>
          <w:rPr>
            <w:noProof/>
            <w:webHidden/>
          </w:rPr>
          <w:fldChar w:fldCharType="separate"/>
        </w:r>
        <w:r>
          <w:rPr>
            <w:noProof/>
            <w:webHidden/>
          </w:rPr>
          <w:t>23</w:t>
        </w:r>
        <w:r>
          <w:rPr>
            <w:noProof/>
            <w:webHidden/>
          </w:rPr>
          <w:fldChar w:fldCharType="end"/>
        </w:r>
      </w:hyperlink>
    </w:p>
    <w:p w14:paraId="56E61631"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89" w:history="1">
        <w:r w:rsidRPr="00C47DA9">
          <w:rPr>
            <w:rStyle w:val="Lienhypertexte"/>
            <w:noProof/>
          </w:rPr>
          <w:t>3.1.</w:t>
        </w:r>
        <w:r>
          <w:rPr>
            <w:rFonts w:asciiTheme="minorHAnsi" w:eastAsiaTheme="minorEastAsia" w:hAnsiTheme="minorHAnsi" w:cstheme="minorBidi"/>
            <w:smallCaps w:val="0"/>
            <w:noProof/>
            <w:sz w:val="22"/>
            <w:szCs w:val="22"/>
            <w:lang w:eastAsia="fr-BE"/>
          </w:rPr>
          <w:tab/>
        </w:r>
        <w:r w:rsidRPr="00C47DA9">
          <w:rPr>
            <w:rStyle w:val="Lienhypertexte"/>
            <w:noProof/>
          </w:rPr>
          <w:t>Rappel du Keynésianisme et du Monétarisme de Milton Friedman</w:t>
        </w:r>
        <w:r>
          <w:rPr>
            <w:noProof/>
            <w:webHidden/>
          </w:rPr>
          <w:tab/>
        </w:r>
        <w:r>
          <w:rPr>
            <w:noProof/>
            <w:webHidden/>
          </w:rPr>
          <w:fldChar w:fldCharType="begin"/>
        </w:r>
        <w:r>
          <w:rPr>
            <w:noProof/>
            <w:webHidden/>
          </w:rPr>
          <w:instrText xml:space="preserve"> PAGEREF _Toc482815589 \h </w:instrText>
        </w:r>
        <w:r>
          <w:rPr>
            <w:noProof/>
            <w:webHidden/>
          </w:rPr>
        </w:r>
        <w:r>
          <w:rPr>
            <w:noProof/>
            <w:webHidden/>
          </w:rPr>
          <w:fldChar w:fldCharType="separate"/>
        </w:r>
        <w:r>
          <w:rPr>
            <w:noProof/>
            <w:webHidden/>
          </w:rPr>
          <w:t>24</w:t>
        </w:r>
        <w:r>
          <w:rPr>
            <w:noProof/>
            <w:webHidden/>
          </w:rPr>
          <w:fldChar w:fldCharType="end"/>
        </w:r>
      </w:hyperlink>
    </w:p>
    <w:p w14:paraId="53EE44EB"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90" w:history="1">
        <w:r w:rsidRPr="00C47DA9">
          <w:rPr>
            <w:rStyle w:val="Lienhypertexte"/>
            <w:noProof/>
          </w:rPr>
          <w:t>3.2.</w:t>
        </w:r>
        <w:r>
          <w:rPr>
            <w:rFonts w:asciiTheme="minorHAnsi" w:eastAsiaTheme="minorEastAsia" w:hAnsiTheme="minorHAnsi" w:cstheme="minorBidi"/>
            <w:smallCaps w:val="0"/>
            <w:noProof/>
            <w:sz w:val="22"/>
            <w:szCs w:val="22"/>
            <w:lang w:eastAsia="fr-BE"/>
          </w:rPr>
          <w:tab/>
        </w:r>
        <w:r w:rsidRPr="00C47DA9">
          <w:rPr>
            <w:rStyle w:val="Lienhypertexte"/>
            <w:noProof/>
          </w:rPr>
          <w:t>Types d'argent</w:t>
        </w:r>
        <w:r>
          <w:rPr>
            <w:noProof/>
            <w:webHidden/>
          </w:rPr>
          <w:tab/>
        </w:r>
        <w:r>
          <w:rPr>
            <w:noProof/>
            <w:webHidden/>
          </w:rPr>
          <w:fldChar w:fldCharType="begin"/>
        </w:r>
        <w:r>
          <w:rPr>
            <w:noProof/>
            <w:webHidden/>
          </w:rPr>
          <w:instrText xml:space="preserve"> PAGEREF _Toc482815590 \h </w:instrText>
        </w:r>
        <w:r>
          <w:rPr>
            <w:noProof/>
            <w:webHidden/>
          </w:rPr>
        </w:r>
        <w:r>
          <w:rPr>
            <w:noProof/>
            <w:webHidden/>
          </w:rPr>
          <w:fldChar w:fldCharType="separate"/>
        </w:r>
        <w:r>
          <w:rPr>
            <w:noProof/>
            <w:webHidden/>
          </w:rPr>
          <w:t>28</w:t>
        </w:r>
        <w:r>
          <w:rPr>
            <w:noProof/>
            <w:webHidden/>
          </w:rPr>
          <w:fldChar w:fldCharType="end"/>
        </w:r>
      </w:hyperlink>
    </w:p>
    <w:p w14:paraId="76D6D38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91" w:history="1">
        <w:r w:rsidRPr="00C47DA9">
          <w:rPr>
            <w:rStyle w:val="Lienhypertexte"/>
            <w:noProof/>
          </w:rPr>
          <w:t>3.3.</w:t>
        </w:r>
        <w:r>
          <w:rPr>
            <w:rFonts w:asciiTheme="minorHAnsi" w:eastAsiaTheme="minorEastAsia" w:hAnsiTheme="minorHAnsi" w:cstheme="minorBidi"/>
            <w:smallCaps w:val="0"/>
            <w:noProof/>
            <w:sz w:val="22"/>
            <w:szCs w:val="22"/>
            <w:lang w:eastAsia="fr-BE"/>
          </w:rPr>
          <w:tab/>
        </w:r>
        <w:r w:rsidRPr="00C47DA9">
          <w:rPr>
            <w:rStyle w:val="Lienhypertexte"/>
            <w:noProof/>
          </w:rPr>
          <w:t>Courbes</w:t>
        </w:r>
        <w:r>
          <w:rPr>
            <w:noProof/>
            <w:webHidden/>
          </w:rPr>
          <w:tab/>
        </w:r>
        <w:r>
          <w:rPr>
            <w:noProof/>
            <w:webHidden/>
          </w:rPr>
          <w:fldChar w:fldCharType="begin"/>
        </w:r>
        <w:r>
          <w:rPr>
            <w:noProof/>
            <w:webHidden/>
          </w:rPr>
          <w:instrText xml:space="preserve"> PAGEREF _Toc482815591 \h </w:instrText>
        </w:r>
        <w:r>
          <w:rPr>
            <w:noProof/>
            <w:webHidden/>
          </w:rPr>
        </w:r>
        <w:r>
          <w:rPr>
            <w:noProof/>
            <w:webHidden/>
          </w:rPr>
          <w:fldChar w:fldCharType="separate"/>
        </w:r>
        <w:r>
          <w:rPr>
            <w:noProof/>
            <w:webHidden/>
          </w:rPr>
          <w:t>28</w:t>
        </w:r>
        <w:r>
          <w:rPr>
            <w:noProof/>
            <w:webHidden/>
          </w:rPr>
          <w:fldChar w:fldCharType="end"/>
        </w:r>
      </w:hyperlink>
    </w:p>
    <w:p w14:paraId="2A7D819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92" w:history="1">
        <w:r w:rsidRPr="00C47DA9">
          <w:rPr>
            <w:rStyle w:val="Lienhypertexte"/>
            <w:noProof/>
          </w:rPr>
          <w:t>3.3.1.</w:t>
        </w:r>
        <w:r>
          <w:rPr>
            <w:rFonts w:asciiTheme="minorHAnsi" w:eastAsiaTheme="minorEastAsia" w:hAnsiTheme="minorHAnsi" w:cstheme="minorBidi"/>
            <w:i w:val="0"/>
            <w:iCs w:val="0"/>
            <w:noProof/>
            <w:sz w:val="22"/>
            <w:szCs w:val="22"/>
            <w:lang w:eastAsia="fr-BE"/>
          </w:rPr>
          <w:tab/>
        </w:r>
        <w:r w:rsidRPr="00C47DA9">
          <w:rPr>
            <w:rStyle w:val="Lienhypertexte"/>
            <w:noProof/>
          </w:rPr>
          <w:t>Prix de l’argent actuels</w:t>
        </w:r>
        <w:r>
          <w:rPr>
            <w:noProof/>
            <w:webHidden/>
          </w:rPr>
          <w:tab/>
        </w:r>
        <w:r>
          <w:rPr>
            <w:noProof/>
            <w:webHidden/>
          </w:rPr>
          <w:fldChar w:fldCharType="begin"/>
        </w:r>
        <w:r>
          <w:rPr>
            <w:noProof/>
            <w:webHidden/>
          </w:rPr>
          <w:instrText xml:space="preserve"> PAGEREF _Toc482815592 \h </w:instrText>
        </w:r>
        <w:r>
          <w:rPr>
            <w:noProof/>
            <w:webHidden/>
          </w:rPr>
        </w:r>
        <w:r>
          <w:rPr>
            <w:noProof/>
            <w:webHidden/>
          </w:rPr>
          <w:fldChar w:fldCharType="separate"/>
        </w:r>
        <w:r>
          <w:rPr>
            <w:noProof/>
            <w:webHidden/>
          </w:rPr>
          <w:t>28</w:t>
        </w:r>
        <w:r>
          <w:rPr>
            <w:noProof/>
            <w:webHidden/>
          </w:rPr>
          <w:fldChar w:fldCharType="end"/>
        </w:r>
      </w:hyperlink>
    </w:p>
    <w:p w14:paraId="2BE1437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93" w:history="1">
        <w:r w:rsidRPr="00C47DA9">
          <w:rPr>
            <w:rStyle w:val="Lienhypertexte"/>
            <w:noProof/>
          </w:rPr>
          <w:t>3.3.2.</w:t>
        </w:r>
        <w:r>
          <w:rPr>
            <w:rFonts w:asciiTheme="minorHAnsi" w:eastAsiaTheme="minorEastAsia" w:hAnsiTheme="minorHAnsi" w:cstheme="minorBidi"/>
            <w:i w:val="0"/>
            <w:iCs w:val="0"/>
            <w:noProof/>
            <w:sz w:val="22"/>
            <w:szCs w:val="22"/>
            <w:lang w:eastAsia="fr-BE"/>
          </w:rPr>
          <w:tab/>
        </w:r>
        <w:r w:rsidRPr="00C47DA9">
          <w:rPr>
            <w:rStyle w:val="Lienhypertexte"/>
            <w:noProof/>
          </w:rPr>
          <w:t>Courbe des rendements</w:t>
        </w:r>
        <w:r>
          <w:rPr>
            <w:noProof/>
            <w:webHidden/>
          </w:rPr>
          <w:tab/>
        </w:r>
        <w:r>
          <w:rPr>
            <w:noProof/>
            <w:webHidden/>
          </w:rPr>
          <w:fldChar w:fldCharType="begin"/>
        </w:r>
        <w:r>
          <w:rPr>
            <w:noProof/>
            <w:webHidden/>
          </w:rPr>
          <w:instrText xml:space="preserve"> PAGEREF _Toc482815593 \h </w:instrText>
        </w:r>
        <w:r>
          <w:rPr>
            <w:noProof/>
            <w:webHidden/>
          </w:rPr>
        </w:r>
        <w:r>
          <w:rPr>
            <w:noProof/>
            <w:webHidden/>
          </w:rPr>
          <w:fldChar w:fldCharType="separate"/>
        </w:r>
        <w:r>
          <w:rPr>
            <w:noProof/>
            <w:webHidden/>
          </w:rPr>
          <w:t>28</w:t>
        </w:r>
        <w:r>
          <w:rPr>
            <w:noProof/>
            <w:webHidden/>
          </w:rPr>
          <w:fldChar w:fldCharType="end"/>
        </w:r>
      </w:hyperlink>
    </w:p>
    <w:p w14:paraId="7BE5FC4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94" w:history="1">
        <w:r w:rsidRPr="00C47DA9">
          <w:rPr>
            <w:rStyle w:val="Lienhypertexte"/>
            <w:noProof/>
          </w:rPr>
          <w:t>3.3.3.</w:t>
        </w:r>
        <w:r>
          <w:rPr>
            <w:rFonts w:asciiTheme="minorHAnsi" w:eastAsiaTheme="minorEastAsia" w:hAnsiTheme="minorHAnsi" w:cstheme="minorBidi"/>
            <w:i w:val="0"/>
            <w:iCs w:val="0"/>
            <w:noProof/>
            <w:sz w:val="22"/>
            <w:szCs w:val="22"/>
            <w:lang w:eastAsia="fr-BE"/>
          </w:rPr>
          <w:tab/>
        </w:r>
        <w:r w:rsidRPr="00C47DA9">
          <w:rPr>
            <w:rStyle w:val="Lienhypertexte"/>
            <w:noProof/>
          </w:rPr>
          <w:t>Courbe d'efficience</w:t>
        </w:r>
        <w:r>
          <w:rPr>
            <w:noProof/>
            <w:webHidden/>
          </w:rPr>
          <w:tab/>
        </w:r>
        <w:r>
          <w:rPr>
            <w:noProof/>
            <w:webHidden/>
          </w:rPr>
          <w:fldChar w:fldCharType="begin"/>
        </w:r>
        <w:r>
          <w:rPr>
            <w:noProof/>
            <w:webHidden/>
          </w:rPr>
          <w:instrText xml:space="preserve"> PAGEREF _Toc482815594 \h </w:instrText>
        </w:r>
        <w:r>
          <w:rPr>
            <w:noProof/>
            <w:webHidden/>
          </w:rPr>
        </w:r>
        <w:r>
          <w:rPr>
            <w:noProof/>
            <w:webHidden/>
          </w:rPr>
          <w:fldChar w:fldCharType="separate"/>
        </w:r>
        <w:r>
          <w:rPr>
            <w:noProof/>
            <w:webHidden/>
          </w:rPr>
          <w:t>28</w:t>
        </w:r>
        <w:r>
          <w:rPr>
            <w:noProof/>
            <w:webHidden/>
          </w:rPr>
          <w:fldChar w:fldCharType="end"/>
        </w:r>
      </w:hyperlink>
    </w:p>
    <w:p w14:paraId="410B232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95" w:history="1">
        <w:r w:rsidRPr="00C47DA9">
          <w:rPr>
            <w:rStyle w:val="Lienhypertexte"/>
            <w:noProof/>
          </w:rPr>
          <w:t>3.4.</w:t>
        </w:r>
        <w:r>
          <w:rPr>
            <w:rFonts w:asciiTheme="minorHAnsi" w:eastAsiaTheme="minorEastAsia" w:hAnsiTheme="minorHAnsi" w:cstheme="minorBidi"/>
            <w:smallCaps w:val="0"/>
            <w:noProof/>
            <w:sz w:val="22"/>
            <w:szCs w:val="22"/>
            <w:lang w:eastAsia="fr-BE"/>
          </w:rPr>
          <w:tab/>
        </w:r>
        <w:r w:rsidRPr="00C47DA9">
          <w:rPr>
            <w:rStyle w:val="Lienhypertexte"/>
            <w:noProof/>
          </w:rPr>
          <w:t>Critères d'octroi des crédits</w:t>
        </w:r>
        <w:r>
          <w:rPr>
            <w:noProof/>
            <w:webHidden/>
          </w:rPr>
          <w:tab/>
        </w:r>
        <w:r>
          <w:rPr>
            <w:noProof/>
            <w:webHidden/>
          </w:rPr>
          <w:fldChar w:fldCharType="begin"/>
        </w:r>
        <w:r>
          <w:rPr>
            <w:noProof/>
            <w:webHidden/>
          </w:rPr>
          <w:instrText xml:space="preserve"> PAGEREF _Toc482815595 \h </w:instrText>
        </w:r>
        <w:r>
          <w:rPr>
            <w:noProof/>
            <w:webHidden/>
          </w:rPr>
        </w:r>
        <w:r>
          <w:rPr>
            <w:noProof/>
            <w:webHidden/>
          </w:rPr>
          <w:fldChar w:fldCharType="separate"/>
        </w:r>
        <w:r>
          <w:rPr>
            <w:noProof/>
            <w:webHidden/>
          </w:rPr>
          <w:t>29</w:t>
        </w:r>
        <w:r>
          <w:rPr>
            <w:noProof/>
            <w:webHidden/>
          </w:rPr>
          <w:fldChar w:fldCharType="end"/>
        </w:r>
      </w:hyperlink>
    </w:p>
    <w:p w14:paraId="63506B6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96" w:history="1">
        <w:r w:rsidRPr="00C47DA9">
          <w:rPr>
            <w:rStyle w:val="Lienhypertexte"/>
            <w:noProof/>
          </w:rPr>
          <w:t>3.5.</w:t>
        </w:r>
        <w:r>
          <w:rPr>
            <w:rFonts w:asciiTheme="minorHAnsi" w:eastAsiaTheme="minorEastAsia" w:hAnsiTheme="minorHAnsi" w:cstheme="minorBidi"/>
            <w:smallCaps w:val="0"/>
            <w:noProof/>
            <w:sz w:val="22"/>
            <w:szCs w:val="22"/>
            <w:lang w:eastAsia="fr-BE"/>
          </w:rPr>
          <w:tab/>
        </w:r>
        <w:r w:rsidRPr="00C47DA9">
          <w:rPr>
            <w:rStyle w:val="Lienhypertexte"/>
            <w:noProof/>
          </w:rPr>
          <w:t>Les garanties : réelles, personnelles, morales</w:t>
        </w:r>
        <w:r>
          <w:rPr>
            <w:noProof/>
            <w:webHidden/>
          </w:rPr>
          <w:tab/>
        </w:r>
        <w:r>
          <w:rPr>
            <w:noProof/>
            <w:webHidden/>
          </w:rPr>
          <w:fldChar w:fldCharType="begin"/>
        </w:r>
        <w:r>
          <w:rPr>
            <w:noProof/>
            <w:webHidden/>
          </w:rPr>
          <w:instrText xml:space="preserve"> PAGEREF _Toc482815596 \h </w:instrText>
        </w:r>
        <w:r>
          <w:rPr>
            <w:noProof/>
            <w:webHidden/>
          </w:rPr>
        </w:r>
        <w:r>
          <w:rPr>
            <w:noProof/>
            <w:webHidden/>
          </w:rPr>
          <w:fldChar w:fldCharType="separate"/>
        </w:r>
        <w:r>
          <w:rPr>
            <w:noProof/>
            <w:webHidden/>
          </w:rPr>
          <w:t>32</w:t>
        </w:r>
        <w:r>
          <w:rPr>
            <w:noProof/>
            <w:webHidden/>
          </w:rPr>
          <w:fldChar w:fldCharType="end"/>
        </w:r>
      </w:hyperlink>
    </w:p>
    <w:p w14:paraId="1F353F43"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597" w:history="1">
        <w:r w:rsidRPr="00C47DA9">
          <w:rPr>
            <w:rStyle w:val="Lienhypertexte"/>
            <w:noProof/>
          </w:rPr>
          <w:t>3.6.</w:t>
        </w:r>
        <w:r>
          <w:rPr>
            <w:rFonts w:asciiTheme="minorHAnsi" w:eastAsiaTheme="minorEastAsia" w:hAnsiTheme="minorHAnsi" w:cstheme="minorBidi"/>
            <w:smallCaps w:val="0"/>
            <w:noProof/>
            <w:sz w:val="22"/>
            <w:szCs w:val="22"/>
            <w:lang w:eastAsia="fr-BE"/>
          </w:rPr>
          <w:tab/>
        </w:r>
        <w:r w:rsidRPr="00C47DA9">
          <w:rPr>
            <w:rStyle w:val="Lienhypertexte"/>
            <w:noProof/>
          </w:rPr>
          <w:t>Crédits aux particuliers</w:t>
        </w:r>
        <w:r>
          <w:rPr>
            <w:noProof/>
            <w:webHidden/>
          </w:rPr>
          <w:tab/>
        </w:r>
        <w:r>
          <w:rPr>
            <w:noProof/>
            <w:webHidden/>
          </w:rPr>
          <w:fldChar w:fldCharType="begin"/>
        </w:r>
        <w:r>
          <w:rPr>
            <w:noProof/>
            <w:webHidden/>
          </w:rPr>
          <w:instrText xml:space="preserve"> PAGEREF _Toc482815597 \h </w:instrText>
        </w:r>
        <w:r>
          <w:rPr>
            <w:noProof/>
            <w:webHidden/>
          </w:rPr>
        </w:r>
        <w:r>
          <w:rPr>
            <w:noProof/>
            <w:webHidden/>
          </w:rPr>
          <w:fldChar w:fldCharType="separate"/>
        </w:r>
        <w:r>
          <w:rPr>
            <w:noProof/>
            <w:webHidden/>
          </w:rPr>
          <w:t>35</w:t>
        </w:r>
        <w:r>
          <w:rPr>
            <w:noProof/>
            <w:webHidden/>
          </w:rPr>
          <w:fldChar w:fldCharType="end"/>
        </w:r>
      </w:hyperlink>
    </w:p>
    <w:p w14:paraId="58C8B5F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98" w:history="1">
        <w:r w:rsidRPr="00C47DA9">
          <w:rPr>
            <w:rStyle w:val="Lienhypertexte"/>
            <w:noProof/>
            <w:snapToGrid w:val="0"/>
          </w:rPr>
          <w:t>3.6.1.</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 automatique</w:t>
        </w:r>
        <w:r>
          <w:rPr>
            <w:noProof/>
            <w:webHidden/>
          </w:rPr>
          <w:tab/>
        </w:r>
        <w:r>
          <w:rPr>
            <w:noProof/>
            <w:webHidden/>
          </w:rPr>
          <w:fldChar w:fldCharType="begin"/>
        </w:r>
        <w:r>
          <w:rPr>
            <w:noProof/>
            <w:webHidden/>
          </w:rPr>
          <w:instrText xml:space="preserve"> PAGEREF _Toc482815598 \h </w:instrText>
        </w:r>
        <w:r>
          <w:rPr>
            <w:noProof/>
            <w:webHidden/>
          </w:rPr>
        </w:r>
        <w:r>
          <w:rPr>
            <w:noProof/>
            <w:webHidden/>
          </w:rPr>
          <w:fldChar w:fldCharType="separate"/>
        </w:r>
        <w:r>
          <w:rPr>
            <w:noProof/>
            <w:webHidden/>
          </w:rPr>
          <w:t>36</w:t>
        </w:r>
        <w:r>
          <w:rPr>
            <w:noProof/>
            <w:webHidden/>
          </w:rPr>
          <w:fldChar w:fldCharType="end"/>
        </w:r>
      </w:hyperlink>
    </w:p>
    <w:p w14:paraId="26F8DF2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599" w:history="1">
        <w:r w:rsidRPr="00C47DA9">
          <w:rPr>
            <w:rStyle w:val="Lienhypertexte"/>
            <w:noProof/>
            <w:snapToGrid w:val="0"/>
          </w:rPr>
          <w:t>3.6.2.</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Dépassement autorisé</w:t>
        </w:r>
        <w:r>
          <w:rPr>
            <w:noProof/>
            <w:webHidden/>
          </w:rPr>
          <w:tab/>
        </w:r>
        <w:r>
          <w:rPr>
            <w:noProof/>
            <w:webHidden/>
          </w:rPr>
          <w:fldChar w:fldCharType="begin"/>
        </w:r>
        <w:r>
          <w:rPr>
            <w:noProof/>
            <w:webHidden/>
          </w:rPr>
          <w:instrText xml:space="preserve"> PAGEREF _Toc482815599 \h </w:instrText>
        </w:r>
        <w:r>
          <w:rPr>
            <w:noProof/>
            <w:webHidden/>
          </w:rPr>
        </w:r>
        <w:r>
          <w:rPr>
            <w:noProof/>
            <w:webHidden/>
          </w:rPr>
          <w:fldChar w:fldCharType="separate"/>
        </w:r>
        <w:r>
          <w:rPr>
            <w:noProof/>
            <w:webHidden/>
          </w:rPr>
          <w:t>36</w:t>
        </w:r>
        <w:r>
          <w:rPr>
            <w:noProof/>
            <w:webHidden/>
          </w:rPr>
          <w:fldChar w:fldCharType="end"/>
        </w:r>
      </w:hyperlink>
    </w:p>
    <w:p w14:paraId="3494C32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0" w:history="1">
        <w:r w:rsidRPr="00C47DA9">
          <w:rPr>
            <w:rStyle w:val="Lienhypertexte"/>
            <w:noProof/>
            <w:snapToGrid w:val="0"/>
          </w:rPr>
          <w:t>3.6.3.</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 libre</w:t>
        </w:r>
        <w:r>
          <w:rPr>
            <w:noProof/>
            <w:webHidden/>
          </w:rPr>
          <w:tab/>
        </w:r>
        <w:r>
          <w:rPr>
            <w:noProof/>
            <w:webHidden/>
          </w:rPr>
          <w:fldChar w:fldCharType="begin"/>
        </w:r>
        <w:r>
          <w:rPr>
            <w:noProof/>
            <w:webHidden/>
          </w:rPr>
          <w:instrText xml:space="preserve"> PAGEREF _Toc482815600 \h </w:instrText>
        </w:r>
        <w:r>
          <w:rPr>
            <w:noProof/>
            <w:webHidden/>
          </w:rPr>
        </w:r>
        <w:r>
          <w:rPr>
            <w:noProof/>
            <w:webHidden/>
          </w:rPr>
          <w:fldChar w:fldCharType="separate"/>
        </w:r>
        <w:r>
          <w:rPr>
            <w:noProof/>
            <w:webHidden/>
          </w:rPr>
          <w:t>36</w:t>
        </w:r>
        <w:r>
          <w:rPr>
            <w:noProof/>
            <w:webHidden/>
          </w:rPr>
          <w:fldChar w:fldCharType="end"/>
        </w:r>
      </w:hyperlink>
    </w:p>
    <w:p w14:paraId="4A0F00D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1" w:history="1">
        <w:r w:rsidRPr="00C47DA9">
          <w:rPr>
            <w:rStyle w:val="Lienhypertexte"/>
            <w:noProof/>
            <w:snapToGrid w:val="0"/>
          </w:rPr>
          <w:t>3.6.4.</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 de trésorerie</w:t>
        </w:r>
        <w:r>
          <w:rPr>
            <w:noProof/>
            <w:webHidden/>
          </w:rPr>
          <w:tab/>
        </w:r>
        <w:r>
          <w:rPr>
            <w:noProof/>
            <w:webHidden/>
          </w:rPr>
          <w:fldChar w:fldCharType="begin"/>
        </w:r>
        <w:r>
          <w:rPr>
            <w:noProof/>
            <w:webHidden/>
          </w:rPr>
          <w:instrText xml:space="preserve"> PAGEREF _Toc482815601 \h </w:instrText>
        </w:r>
        <w:r>
          <w:rPr>
            <w:noProof/>
            <w:webHidden/>
          </w:rPr>
        </w:r>
        <w:r>
          <w:rPr>
            <w:noProof/>
            <w:webHidden/>
          </w:rPr>
          <w:fldChar w:fldCharType="separate"/>
        </w:r>
        <w:r>
          <w:rPr>
            <w:noProof/>
            <w:webHidden/>
          </w:rPr>
          <w:t>36</w:t>
        </w:r>
        <w:r>
          <w:rPr>
            <w:noProof/>
            <w:webHidden/>
          </w:rPr>
          <w:fldChar w:fldCharType="end"/>
        </w:r>
      </w:hyperlink>
    </w:p>
    <w:p w14:paraId="3CA0EE6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2" w:history="1">
        <w:r w:rsidRPr="00C47DA9">
          <w:rPr>
            <w:rStyle w:val="Lienhypertexte"/>
            <w:noProof/>
            <w:snapToGrid w:val="0"/>
          </w:rPr>
          <w:t>3.6.5.</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Le P.A.T. (prêt à tempérament ou prêt à la consommation)</w:t>
        </w:r>
        <w:r>
          <w:rPr>
            <w:noProof/>
            <w:webHidden/>
          </w:rPr>
          <w:tab/>
        </w:r>
        <w:r>
          <w:rPr>
            <w:noProof/>
            <w:webHidden/>
          </w:rPr>
          <w:fldChar w:fldCharType="begin"/>
        </w:r>
        <w:r>
          <w:rPr>
            <w:noProof/>
            <w:webHidden/>
          </w:rPr>
          <w:instrText xml:space="preserve"> PAGEREF _Toc482815602 \h </w:instrText>
        </w:r>
        <w:r>
          <w:rPr>
            <w:noProof/>
            <w:webHidden/>
          </w:rPr>
        </w:r>
        <w:r>
          <w:rPr>
            <w:noProof/>
            <w:webHidden/>
          </w:rPr>
          <w:fldChar w:fldCharType="separate"/>
        </w:r>
        <w:r>
          <w:rPr>
            <w:noProof/>
            <w:webHidden/>
          </w:rPr>
          <w:t>36</w:t>
        </w:r>
        <w:r>
          <w:rPr>
            <w:noProof/>
            <w:webHidden/>
          </w:rPr>
          <w:fldChar w:fldCharType="end"/>
        </w:r>
      </w:hyperlink>
    </w:p>
    <w:p w14:paraId="04E6061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3" w:history="1">
        <w:r w:rsidRPr="00C47DA9">
          <w:rPr>
            <w:rStyle w:val="Lienhypertexte"/>
            <w:noProof/>
            <w:snapToGrid w:val="0"/>
          </w:rPr>
          <w:t>3.6.6.</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 au logement</w:t>
        </w:r>
        <w:r>
          <w:rPr>
            <w:noProof/>
            <w:webHidden/>
          </w:rPr>
          <w:tab/>
        </w:r>
        <w:r>
          <w:rPr>
            <w:noProof/>
            <w:webHidden/>
          </w:rPr>
          <w:fldChar w:fldCharType="begin"/>
        </w:r>
        <w:r>
          <w:rPr>
            <w:noProof/>
            <w:webHidden/>
          </w:rPr>
          <w:instrText xml:space="preserve"> PAGEREF _Toc482815603 \h </w:instrText>
        </w:r>
        <w:r>
          <w:rPr>
            <w:noProof/>
            <w:webHidden/>
          </w:rPr>
        </w:r>
        <w:r>
          <w:rPr>
            <w:noProof/>
            <w:webHidden/>
          </w:rPr>
          <w:fldChar w:fldCharType="separate"/>
        </w:r>
        <w:r>
          <w:rPr>
            <w:noProof/>
            <w:webHidden/>
          </w:rPr>
          <w:t>37</w:t>
        </w:r>
        <w:r>
          <w:rPr>
            <w:noProof/>
            <w:webHidden/>
          </w:rPr>
          <w:fldChar w:fldCharType="end"/>
        </w:r>
      </w:hyperlink>
    </w:p>
    <w:p w14:paraId="0785383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04" w:history="1">
        <w:r w:rsidRPr="00C47DA9">
          <w:rPr>
            <w:rStyle w:val="Lienhypertexte"/>
            <w:noProof/>
          </w:rPr>
          <w:t>3.7.</w:t>
        </w:r>
        <w:r>
          <w:rPr>
            <w:rFonts w:asciiTheme="minorHAnsi" w:eastAsiaTheme="minorEastAsia" w:hAnsiTheme="minorHAnsi" w:cstheme="minorBidi"/>
            <w:smallCaps w:val="0"/>
            <w:noProof/>
            <w:sz w:val="22"/>
            <w:szCs w:val="22"/>
            <w:lang w:eastAsia="fr-BE"/>
          </w:rPr>
          <w:tab/>
        </w:r>
        <w:r w:rsidRPr="00C47DA9">
          <w:rPr>
            <w:rStyle w:val="Lienhypertexte"/>
            <w:noProof/>
          </w:rPr>
          <w:t>Crédits aux entreprises</w:t>
        </w:r>
        <w:r>
          <w:rPr>
            <w:noProof/>
            <w:webHidden/>
          </w:rPr>
          <w:tab/>
        </w:r>
        <w:r>
          <w:rPr>
            <w:noProof/>
            <w:webHidden/>
          </w:rPr>
          <w:fldChar w:fldCharType="begin"/>
        </w:r>
        <w:r>
          <w:rPr>
            <w:noProof/>
            <w:webHidden/>
          </w:rPr>
          <w:instrText xml:space="preserve"> PAGEREF _Toc482815604 \h </w:instrText>
        </w:r>
        <w:r>
          <w:rPr>
            <w:noProof/>
            <w:webHidden/>
          </w:rPr>
        </w:r>
        <w:r>
          <w:rPr>
            <w:noProof/>
            <w:webHidden/>
          </w:rPr>
          <w:fldChar w:fldCharType="separate"/>
        </w:r>
        <w:r>
          <w:rPr>
            <w:noProof/>
            <w:webHidden/>
          </w:rPr>
          <w:t>37</w:t>
        </w:r>
        <w:r>
          <w:rPr>
            <w:noProof/>
            <w:webHidden/>
          </w:rPr>
          <w:fldChar w:fldCharType="end"/>
        </w:r>
      </w:hyperlink>
    </w:p>
    <w:p w14:paraId="1CCA59D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5" w:history="1">
        <w:r w:rsidRPr="00C47DA9">
          <w:rPr>
            <w:rStyle w:val="Lienhypertexte"/>
            <w:noProof/>
            <w:snapToGrid w:val="0"/>
          </w:rPr>
          <w:t>3.7.1.</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Crédits destinés à des investissements</w:t>
        </w:r>
        <w:r>
          <w:rPr>
            <w:noProof/>
            <w:webHidden/>
          </w:rPr>
          <w:tab/>
        </w:r>
        <w:r>
          <w:rPr>
            <w:noProof/>
            <w:webHidden/>
          </w:rPr>
          <w:fldChar w:fldCharType="begin"/>
        </w:r>
        <w:r>
          <w:rPr>
            <w:noProof/>
            <w:webHidden/>
          </w:rPr>
          <w:instrText xml:space="preserve"> PAGEREF _Toc482815605 \h </w:instrText>
        </w:r>
        <w:r>
          <w:rPr>
            <w:noProof/>
            <w:webHidden/>
          </w:rPr>
        </w:r>
        <w:r>
          <w:rPr>
            <w:noProof/>
            <w:webHidden/>
          </w:rPr>
          <w:fldChar w:fldCharType="separate"/>
        </w:r>
        <w:r>
          <w:rPr>
            <w:noProof/>
            <w:webHidden/>
          </w:rPr>
          <w:t>38</w:t>
        </w:r>
        <w:r>
          <w:rPr>
            <w:noProof/>
            <w:webHidden/>
          </w:rPr>
          <w:fldChar w:fldCharType="end"/>
        </w:r>
      </w:hyperlink>
    </w:p>
    <w:p w14:paraId="19E662D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6" w:history="1">
        <w:r w:rsidRPr="00C47DA9">
          <w:rPr>
            <w:rStyle w:val="Lienhypertexte"/>
            <w:noProof/>
            <w:snapToGrid w:val="0"/>
          </w:rPr>
          <w:t>3.7.2.</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Crédits destinés à l’exploitation de l’entreprise</w:t>
        </w:r>
        <w:r>
          <w:rPr>
            <w:noProof/>
            <w:webHidden/>
          </w:rPr>
          <w:tab/>
        </w:r>
        <w:r>
          <w:rPr>
            <w:noProof/>
            <w:webHidden/>
          </w:rPr>
          <w:fldChar w:fldCharType="begin"/>
        </w:r>
        <w:r>
          <w:rPr>
            <w:noProof/>
            <w:webHidden/>
          </w:rPr>
          <w:instrText xml:space="preserve"> PAGEREF _Toc482815606 \h </w:instrText>
        </w:r>
        <w:r>
          <w:rPr>
            <w:noProof/>
            <w:webHidden/>
          </w:rPr>
        </w:r>
        <w:r>
          <w:rPr>
            <w:noProof/>
            <w:webHidden/>
          </w:rPr>
          <w:fldChar w:fldCharType="separate"/>
        </w:r>
        <w:r>
          <w:rPr>
            <w:noProof/>
            <w:webHidden/>
          </w:rPr>
          <w:t>39</w:t>
        </w:r>
        <w:r>
          <w:rPr>
            <w:noProof/>
            <w:webHidden/>
          </w:rPr>
          <w:fldChar w:fldCharType="end"/>
        </w:r>
      </w:hyperlink>
    </w:p>
    <w:p w14:paraId="366B30C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7" w:history="1">
        <w:r w:rsidRPr="00C47DA9">
          <w:rPr>
            <w:rStyle w:val="Lienhypertexte"/>
            <w:noProof/>
            <w:snapToGrid w:val="0"/>
          </w:rPr>
          <w:t>3.7.3.</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Crédits destinés au commerce extérieur</w:t>
        </w:r>
        <w:r>
          <w:rPr>
            <w:noProof/>
            <w:webHidden/>
          </w:rPr>
          <w:tab/>
        </w:r>
        <w:r>
          <w:rPr>
            <w:noProof/>
            <w:webHidden/>
          </w:rPr>
          <w:fldChar w:fldCharType="begin"/>
        </w:r>
        <w:r>
          <w:rPr>
            <w:noProof/>
            <w:webHidden/>
          </w:rPr>
          <w:instrText xml:space="preserve"> PAGEREF _Toc482815607 \h </w:instrText>
        </w:r>
        <w:r>
          <w:rPr>
            <w:noProof/>
            <w:webHidden/>
          </w:rPr>
        </w:r>
        <w:r>
          <w:rPr>
            <w:noProof/>
            <w:webHidden/>
          </w:rPr>
          <w:fldChar w:fldCharType="separate"/>
        </w:r>
        <w:r>
          <w:rPr>
            <w:noProof/>
            <w:webHidden/>
          </w:rPr>
          <w:t>42</w:t>
        </w:r>
        <w:r>
          <w:rPr>
            <w:noProof/>
            <w:webHidden/>
          </w:rPr>
          <w:fldChar w:fldCharType="end"/>
        </w:r>
      </w:hyperlink>
    </w:p>
    <w:p w14:paraId="493BAF4A"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08" w:history="1">
        <w:r w:rsidRPr="00C47DA9">
          <w:rPr>
            <w:rStyle w:val="Lienhypertexte"/>
            <w:noProof/>
            <w:snapToGrid w:val="0"/>
          </w:rPr>
          <w:t>3.7.4.</w:t>
        </w:r>
        <w:r>
          <w:rPr>
            <w:rFonts w:asciiTheme="minorHAnsi" w:eastAsiaTheme="minorEastAsia" w:hAnsiTheme="minorHAnsi" w:cstheme="minorBidi"/>
            <w:i w:val="0"/>
            <w:iCs w:val="0"/>
            <w:noProof/>
            <w:sz w:val="22"/>
            <w:szCs w:val="22"/>
            <w:lang w:eastAsia="fr-BE"/>
          </w:rPr>
          <w:tab/>
        </w:r>
        <w:r w:rsidRPr="00C47DA9">
          <w:rPr>
            <w:rStyle w:val="Lienhypertexte"/>
            <w:noProof/>
            <w:snapToGrid w:val="0"/>
          </w:rPr>
          <w:t>Crédits destinés à la trésorerie de l’entreprise</w:t>
        </w:r>
        <w:r>
          <w:rPr>
            <w:noProof/>
            <w:webHidden/>
          </w:rPr>
          <w:tab/>
        </w:r>
        <w:r>
          <w:rPr>
            <w:noProof/>
            <w:webHidden/>
          </w:rPr>
          <w:fldChar w:fldCharType="begin"/>
        </w:r>
        <w:r>
          <w:rPr>
            <w:noProof/>
            <w:webHidden/>
          </w:rPr>
          <w:instrText xml:space="preserve"> PAGEREF _Toc482815608 \h </w:instrText>
        </w:r>
        <w:r>
          <w:rPr>
            <w:noProof/>
            <w:webHidden/>
          </w:rPr>
        </w:r>
        <w:r>
          <w:rPr>
            <w:noProof/>
            <w:webHidden/>
          </w:rPr>
          <w:fldChar w:fldCharType="separate"/>
        </w:r>
        <w:r>
          <w:rPr>
            <w:noProof/>
            <w:webHidden/>
          </w:rPr>
          <w:t>45</w:t>
        </w:r>
        <w:r>
          <w:rPr>
            <w:noProof/>
            <w:webHidden/>
          </w:rPr>
          <w:fldChar w:fldCharType="end"/>
        </w:r>
      </w:hyperlink>
    </w:p>
    <w:p w14:paraId="11C09808"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09" w:history="1">
        <w:r w:rsidRPr="00C47DA9">
          <w:rPr>
            <w:rStyle w:val="Lienhypertexte"/>
            <w:noProof/>
            <w:snapToGrid w:val="0"/>
          </w:rPr>
          <w:t>3.8.</w:t>
        </w:r>
        <w:r>
          <w:rPr>
            <w:rFonts w:asciiTheme="minorHAnsi" w:eastAsiaTheme="minorEastAsia" w:hAnsiTheme="minorHAnsi" w:cstheme="minorBidi"/>
            <w:smallCaps w:val="0"/>
            <w:noProof/>
            <w:sz w:val="22"/>
            <w:szCs w:val="22"/>
            <w:lang w:eastAsia="fr-BE"/>
          </w:rPr>
          <w:tab/>
        </w:r>
        <w:r w:rsidRPr="00C47DA9">
          <w:rPr>
            <w:rStyle w:val="Lienhypertexte"/>
            <w:noProof/>
            <w:snapToGrid w:val="0"/>
          </w:rPr>
          <w:t xml:space="preserve">Et le </w:t>
        </w:r>
        <w:r w:rsidRPr="00C47DA9">
          <w:rPr>
            <w:rStyle w:val="Lienhypertexte"/>
            <w:i/>
            <w:noProof/>
            <w:snapToGrid w:val="0"/>
          </w:rPr>
          <w:t>crowdfunding</w:t>
        </w:r>
        <w:r w:rsidRPr="00C47DA9">
          <w:rPr>
            <w:rStyle w:val="Lienhypertexte"/>
            <w:noProof/>
            <w:snapToGrid w:val="0"/>
          </w:rPr>
          <w:t>, vous connaissez ?</w:t>
        </w:r>
        <w:r>
          <w:rPr>
            <w:noProof/>
            <w:webHidden/>
          </w:rPr>
          <w:tab/>
        </w:r>
        <w:r>
          <w:rPr>
            <w:noProof/>
            <w:webHidden/>
          </w:rPr>
          <w:fldChar w:fldCharType="begin"/>
        </w:r>
        <w:r>
          <w:rPr>
            <w:noProof/>
            <w:webHidden/>
          </w:rPr>
          <w:instrText xml:space="preserve"> PAGEREF _Toc482815609 \h </w:instrText>
        </w:r>
        <w:r>
          <w:rPr>
            <w:noProof/>
            <w:webHidden/>
          </w:rPr>
        </w:r>
        <w:r>
          <w:rPr>
            <w:noProof/>
            <w:webHidden/>
          </w:rPr>
          <w:fldChar w:fldCharType="separate"/>
        </w:r>
        <w:r>
          <w:rPr>
            <w:noProof/>
            <w:webHidden/>
          </w:rPr>
          <w:t>45</w:t>
        </w:r>
        <w:r>
          <w:rPr>
            <w:noProof/>
            <w:webHidden/>
          </w:rPr>
          <w:fldChar w:fldCharType="end"/>
        </w:r>
      </w:hyperlink>
    </w:p>
    <w:p w14:paraId="24951ED5"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610" w:history="1">
        <w:r w:rsidRPr="00C47DA9">
          <w:rPr>
            <w:rStyle w:val="Lienhypertexte"/>
            <w:noProof/>
          </w:rPr>
          <w:t>4.</w:t>
        </w:r>
        <w:r>
          <w:rPr>
            <w:rFonts w:asciiTheme="minorHAnsi" w:eastAsiaTheme="minorEastAsia" w:hAnsiTheme="minorHAnsi" w:cstheme="minorBidi"/>
            <w:b w:val="0"/>
            <w:bCs w:val="0"/>
            <w:caps w:val="0"/>
            <w:noProof/>
            <w:sz w:val="22"/>
            <w:szCs w:val="22"/>
            <w:lang w:eastAsia="fr-BE"/>
          </w:rPr>
          <w:tab/>
        </w:r>
        <w:r w:rsidRPr="00C47DA9">
          <w:rPr>
            <w:rStyle w:val="Lienhypertexte"/>
            <w:noProof/>
          </w:rPr>
          <w:t>Pratiques de commerce et protection du consommateur</w:t>
        </w:r>
        <w:r>
          <w:rPr>
            <w:noProof/>
            <w:webHidden/>
          </w:rPr>
          <w:tab/>
        </w:r>
        <w:r>
          <w:rPr>
            <w:noProof/>
            <w:webHidden/>
          </w:rPr>
          <w:fldChar w:fldCharType="begin"/>
        </w:r>
        <w:r>
          <w:rPr>
            <w:noProof/>
            <w:webHidden/>
          </w:rPr>
          <w:instrText xml:space="preserve"> PAGEREF _Toc482815610 \h </w:instrText>
        </w:r>
        <w:r>
          <w:rPr>
            <w:noProof/>
            <w:webHidden/>
          </w:rPr>
        </w:r>
        <w:r>
          <w:rPr>
            <w:noProof/>
            <w:webHidden/>
          </w:rPr>
          <w:fldChar w:fldCharType="separate"/>
        </w:r>
        <w:r>
          <w:rPr>
            <w:noProof/>
            <w:webHidden/>
          </w:rPr>
          <w:t>48</w:t>
        </w:r>
        <w:r>
          <w:rPr>
            <w:noProof/>
            <w:webHidden/>
          </w:rPr>
          <w:fldChar w:fldCharType="end"/>
        </w:r>
      </w:hyperlink>
    </w:p>
    <w:p w14:paraId="07CCA680"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11" w:history="1">
        <w:r w:rsidRPr="00C47DA9">
          <w:rPr>
            <w:rStyle w:val="Lienhypertexte"/>
            <w:noProof/>
          </w:rPr>
          <w:t>4.1.</w:t>
        </w:r>
        <w:r>
          <w:rPr>
            <w:rFonts w:asciiTheme="minorHAnsi" w:eastAsiaTheme="minorEastAsia" w:hAnsiTheme="minorHAnsi" w:cstheme="minorBidi"/>
            <w:smallCaps w:val="0"/>
            <w:noProof/>
            <w:sz w:val="22"/>
            <w:szCs w:val="22"/>
            <w:lang w:eastAsia="fr-BE"/>
          </w:rPr>
          <w:tab/>
        </w:r>
        <w:r w:rsidRPr="00C47DA9">
          <w:rPr>
            <w:rStyle w:val="Lienhypertexte"/>
            <w:noProof/>
          </w:rPr>
          <w:t>Protection des consommateurs en cas de vente de biens</w:t>
        </w:r>
        <w:r>
          <w:rPr>
            <w:noProof/>
            <w:webHidden/>
          </w:rPr>
          <w:tab/>
        </w:r>
        <w:r>
          <w:rPr>
            <w:noProof/>
            <w:webHidden/>
          </w:rPr>
          <w:fldChar w:fldCharType="begin"/>
        </w:r>
        <w:r>
          <w:rPr>
            <w:noProof/>
            <w:webHidden/>
          </w:rPr>
          <w:instrText xml:space="preserve"> PAGEREF _Toc482815611 \h </w:instrText>
        </w:r>
        <w:r>
          <w:rPr>
            <w:noProof/>
            <w:webHidden/>
          </w:rPr>
        </w:r>
        <w:r>
          <w:rPr>
            <w:noProof/>
            <w:webHidden/>
          </w:rPr>
          <w:fldChar w:fldCharType="separate"/>
        </w:r>
        <w:r>
          <w:rPr>
            <w:noProof/>
            <w:webHidden/>
          </w:rPr>
          <w:t>49</w:t>
        </w:r>
        <w:r>
          <w:rPr>
            <w:noProof/>
            <w:webHidden/>
          </w:rPr>
          <w:fldChar w:fldCharType="end"/>
        </w:r>
      </w:hyperlink>
    </w:p>
    <w:p w14:paraId="511C3D2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12" w:history="1">
        <w:r w:rsidRPr="00C47DA9">
          <w:rPr>
            <w:rStyle w:val="Lienhypertexte"/>
            <w:noProof/>
          </w:rPr>
          <w:t>4.2.</w:t>
        </w:r>
        <w:r>
          <w:rPr>
            <w:rFonts w:asciiTheme="minorHAnsi" w:eastAsiaTheme="minorEastAsia" w:hAnsiTheme="minorHAnsi" w:cstheme="minorBidi"/>
            <w:smallCaps w:val="0"/>
            <w:noProof/>
            <w:sz w:val="22"/>
            <w:szCs w:val="22"/>
            <w:lang w:eastAsia="fr-BE"/>
          </w:rPr>
          <w:tab/>
        </w:r>
        <w:r w:rsidRPr="00C47DA9">
          <w:rPr>
            <w:rStyle w:val="Lienhypertexte"/>
            <w:noProof/>
          </w:rPr>
          <w:t>Indication des prix et des quantités</w:t>
        </w:r>
        <w:r>
          <w:rPr>
            <w:noProof/>
            <w:webHidden/>
          </w:rPr>
          <w:tab/>
        </w:r>
        <w:r>
          <w:rPr>
            <w:noProof/>
            <w:webHidden/>
          </w:rPr>
          <w:fldChar w:fldCharType="begin"/>
        </w:r>
        <w:r>
          <w:rPr>
            <w:noProof/>
            <w:webHidden/>
          </w:rPr>
          <w:instrText xml:space="preserve"> PAGEREF _Toc482815612 \h </w:instrText>
        </w:r>
        <w:r>
          <w:rPr>
            <w:noProof/>
            <w:webHidden/>
          </w:rPr>
        </w:r>
        <w:r>
          <w:rPr>
            <w:noProof/>
            <w:webHidden/>
          </w:rPr>
          <w:fldChar w:fldCharType="separate"/>
        </w:r>
        <w:r>
          <w:rPr>
            <w:noProof/>
            <w:webHidden/>
          </w:rPr>
          <w:t>49</w:t>
        </w:r>
        <w:r>
          <w:rPr>
            <w:noProof/>
            <w:webHidden/>
          </w:rPr>
          <w:fldChar w:fldCharType="end"/>
        </w:r>
      </w:hyperlink>
    </w:p>
    <w:p w14:paraId="436344B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3" w:history="1">
        <w:r w:rsidRPr="00C47DA9">
          <w:rPr>
            <w:rStyle w:val="Lienhypertexte"/>
            <w:noProof/>
          </w:rPr>
          <w:t>4.2.1.</w:t>
        </w:r>
        <w:r>
          <w:rPr>
            <w:rFonts w:asciiTheme="minorHAnsi" w:eastAsiaTheme="minorEastAsia" w:hAnsiTheme="minorHAnsi" w:cstheme="minorBidi"/>
            <w:i w:val="0"/>
            <w:iCs w:val="0"/>
            <w:noProof/>
            <w:sz w:val="22"/>
            <w:szCs w:val="22"/>
            <w:lang w:eastAsia="fr-BE"/>
          </w:rPr>
          <w:tab/>
        </w:r>
        <w:r w:rsidRPr="00C47DA9">
          <w:rPr>
            <w:rStyle w:val="Lienhypertexte"/>
            <w:noProof/>
          </w:rPr>
          <w:t>Sources de loi</w:t>
        </w:r>
        <w:r>
          <w:rPr>
            <w:noProof/>
            <w:webHidden/>
          </w:rPr>
          <w:tab/>
        </w:r>
        <w:r>
          <w:rPr>
            <w:noProof/>
            <w:webHidden/>
          </w:rPr>
          <w:fldChar w:fldCharType="begin"/>
        </w:r>
        <w:r>
          <w:rPr>
            <w:noProof/>
            <w:webHidden/>
          </w:rPr>
          <w:instrText xml:space="preserve"> PAGEREF _Toc482815613 \h </w:instrText>
        </w:r>
        <w:r>
          <w:rPr>
            <w:noProof/>
            <w:webHidden/>
          </w:rPr>
        </w:r>
        <w:r>
          <w:rPr>
            <w:noProof/>
            <w:webHidden/>
          </w:rPr>
          <w:fldChar w:fldCharType="separate"/>
        </w:r>
        <w:r>
          <w:rPr>
            <w:noProof/>
            <w:webHidden/>
          </w:rPr>
          <w:t>49</w:t>
        </w:r>
        <w:r>
          <w:rPr>
            <w:noProof/>
            <w:webHidden/>
          </w:rPr>
          <w:fldChar w:fldCharType="end"/>
        </w:r>
      </w:hyperlink>
    </w:p>
    <w:p w14:paraId="525096E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4" w:history="1">
        <w:r w:rsidRPr="00C47DA9">
          <w:rPr>
            <w:rStyle w:val="Lienhypertexte"/>
            <w:noProof/>
          </w:rPr>
          <w:t>4.2.2.</w:t>
        </w:r>
        <w:r>
          <w:rPr>
            <w:rFonts w:asciiTheme="minorHAnsi" w:eastAsiaTheme="minorEastAsia" w:hAnsiTheme="minorHAnsi" w:cstheme="minorBidi"/>
            <w:i w:val="0"/>
            <w:iCs w:val="0"/>
            <w:noProof/>
            <w:sz w:val="22"/>
            <w:szCs w:val="22"/>
            <w:lang w:eastAsia="fr-BE"/>
          </w:rPr>
          <w:tab/>
        </w:r>
        <w:r w:rsidRPr="00C47DA9">
          <w:rPr>
            <w:rStyle w:val="Lienhypertexte"/>
            <w:noProof/>
          </w:rPr>
          <w:t>Résumé des sources de loi</w:t>
        </w:r>
        <w:r>
          <w:rPr>
            <w:noProof/>
            <w:webHidden/>
          </w:rPr>
          <w:tab/>
        </w:r>
        <w:r>
          <w:rPr>
            <w:noProof/>
            <w:webHidden/>
          </w:rPr>
          <w:fldChar w:fldCharType="begin"/>
        </w:r>
        <w:r>
          <w:rPr>
            <w:noProof/>
            <w:webHidden/>
          </w:rPr>
          <w:instrText xml:space="preserve"> PAGEREF _Toc482815614 \h </w:instrText>
        </w:r>
        <w:r>
          <w:rPr>
            <w:noProof/>
            <w:webHidden/>
          </w:rPr>
        </w:r>
        <w:r>
          <w:rPr>
            <w:noProof/>
            <w:webHidden/>
          </w:rPr>
          <w:fldChar w:fldCharType="separate"/>
        </w:r>
        <w:r>
          <w:rPr>
            <w:noProof/>
            <w:webHidden/>
          </w:rPr>
          <w:t>49</w:t>
        </w:r>
        <w:r>
          <w:rPr>
            <w:noProof/>
            <w:webHidden/>
          </w:rPr>
          <w:fldChar w:fldCharType="end"/>
        </w:r>
      </w:hyperlink>
    </w:p>
    <w:p w14:paraId="78BA9F2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5" w:history="1">
        <w:r w:rsidRPr="00C47DA9">
          <w:rPr>
            <w:rStyle w:val="Lienhypertexte"/>
            <w:noProof/>
          </w:rPr>
          <w:t>4.2.3.</w:t>
        </w:r>
        <w:r>
          <w:rPr>
            <w:rFonts w:asciiTheme="minorHAnsi" w:eastAsiaTheme="minorEastAsia" w:hAnsiTheme="minorHAnsi" w:cstheme="minorBidi"/>
            <w:i w:val="0"/>
            <w:iCs w:val="0"/>
            <w:noProof/>
            <w:sz w:val="22"/>
            <w:szCs w:val="22"/>
            <w:lang w:eastAsia="fr-BE"/>
          </w:rPr>
          <w:tab/>
        </w:r>
        <w:r w:rsidRPr="00C47DA9">
          <w:rPr>
            <w:rStyle w:val="Lienhypertexte"/>
            <w:noProof/>
          </w:rPr>
          <w:t>Exemples</w:t>
        </w:r>
        <w:r>
          <w:rPr>
            <w:noProof/>
            <w:webHidden/>
          </w:rPr>
          <w:tab/>
        </w:r>
        <w:r>
          <w:rPr>
            <w:noProof/>
            <w:webHidden/>
          </w:rPr>
          <w:fldChar w:fldCharType="begin"/>
        </w:r>
        <w:r>
          <w:rPr>
            <w:noProof/>
            <w:webHidden/>
          </w:rPr>
          <w:instrText xml:space="preserve"> PAGEREF _Toc482815615 \h </w:instrText>
        </w:r>
        <w:r>
          <w:rPr>
            <w:noProof/>
            <w:webHidden/>
          </w:rPr>
        </w:r>
        <w:r>
          <w:rPr>
            <w:noProof/>
            <w:webHidden/>
          </w:rPr>
          <w:fldChar w:fldCharType="separate"/>
        </w:r>
        <w:r>
          <w:rPr>
            <w:noProof/>
            <w:webHidden/>
          </w:rPr>
          <w:t>52</w:t>
        </w:r>
        <w:r>
          <w:rPr>
            <w:noProof/>
            <w:webHidden/>
          </w:rPr>
          <w:fldChar w:fldCharType="end"/>
        </w:r>
      </w:hyperlink>
    </w:p>
    <w:p w14:paraId="2A7920BF"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16" w:history="1">
        <w:r w:rsidRPr="00C47DA9">
          <w:rPr>
            <w:rStyle w:val="Lienhypertexte"/>
            <w:noProof/>
          </w:rPr>
          <w:t>4.3.</w:t>
        </w:r>
        <w:r>
          <w:rPr>
            <w:rFonts w:asciiTheme="minorHAnsi" w:eastAsiaTheme="minorEastAsia" w:hAnsiTheme="minorHAnsi" w:cstheme="minorBidi"/>
            <w:smallCaps w:val="0"/>
            <w:noProof/>
            <w:sz w:val="22"/>
            <w:szCs w:val="22"/>
            <w:lang w:eastAsia="fr-BE"/>
          </w:rPr>
          <w:tab/>
        </w:r>
        <w:r w:rsidRPr="00C47DA9">
          <w:rPr>
            <w:rStyle w:val="Lienhypertexte"/>
            <w:noProof/>
          </w:rPr>
          <w:t>Des contrats à distance et des contrats conclus hors de l’entreprise</w:t>
        </w:r>
        <w:r>
          <w:rPr>
            <w:noProof/>
            <w:webHidden/>
          </w:rPr>
          <w:tab/>
        </w:r>
        <w:r>
          <w:rPr>
            <w:noProof/>
            <w:webHidden/>
          </w:rPr>
          <w:fldChar w:fldCharType="begin"/>
        </w:r>
        <w:r>
          <w:rPr>
            <w:noProof/>
            <w:webHidden/>
          </w:rPr>
          <w:instrText xml:space="preserve"> PAGEREF _Toc482815616 \h </w:instrText>
        </w:r>
        <w:r>
          <w:rPr>
            <w:noProof/>
            <w:webHidden/>
          </w:rPr>
        </w:r>
        <w:r>
          <w:rPr>
            <w:noProof/>
            <w:webHidden/>
          </w:rPr>
          <w:fldChar w:fldCharType="separate"/>
        </w:r>
        <w:r>
          <w:rPr>
            <w:noProof/>
            <w:webHidden/>
          </w:rPr>
          <w:t>52</w:t>
        </w:r>
        <w:r>
          <w:rPr>
            <w:noProof/>
            <w:webHidden/>
          </w:rPr>
          <w:fldChar w:fldCharType="end"/>
        </w:r>
      </w:hyperlink>
    </w:p>
    <w:p w14:paraId="03E9F71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7" w:history="1">
        <w:r w:rsidRPr="00C47DA9">
          <w:rPr>
            <w:rStyle w:val="Lienhypertexte"/>
            <w:noProof/>
          </w:rPr>
          <w:t>4.3.1.</w:t>
        </w:r>
        <w:r>
          <w:rPr>
            <w:rFonts w:asciiTheme="minorHAnsi" w:eastAsiaTheme="minorEastAsia" w:hAnsiTheme="minorHAnsi" w:cstheme="minorBidi"/>
            <w:i w:val="0"/>
            <w:iCs w:val="0"/>
            <w:noProof/>
            <w:sz w:val="22"/>
            <w:szCs w:val="22"/>
            <w:lang w:eastAsia="fr-BE"/>
          </w:rPr>
          <w:tab/>
        </w:r>
        <w:r w:rsidRPr="00C47DA9">
          <w:rPr>
            <w:rStyle w:val="Lienhypertexte"/>
            <w:noProof/>
          </w:rPr>
          <w:t>Sources de loi</w:t>
        </w:r>
        <w:r>
          <w:rPr>
            <w:noProof/>
            <w:webHidden/>
          </w:rPr>
          <w:tab/>
        </w:r>
        <w:r>
          <w:rPr>
            <w:noProof/>
            <w:webHidden/>
          </w:rPr>
          <w:fldChar w:fldCharType="begin"/>
        </w:r>
        <w:r>
          <w:rPr>
            <w:noProof/>
            <w:webHidden/>
          </w:rPr>
          <w:instrText xml:space="preserve"> PAGEREF _Toc482815617 \h </w:instrText>
        </w:r>
        <w:r>
          <w:rPr>
            <w:noProof/>
            <w:webHidden/>
          </w:rPr>
        </w:r>
        <w:r>
          <w:rPr>
            <w:noProof/>
            <w:webHidden/>
          </w:rPr>
          <w:fldChar w:fldCharType="separate"/>
        </w:r>
        <w:r>
          <w:rPr>
            <w:noProof/>
            <w:webHidden/>
          </w:rPr>
          <w:t>52</w:t>
        </w:r>
        <w:r>
          <w:rPr>
            <w:noProof/>
            <w:webHidden/>
          </w:rPr>
          <w:fldChar w:fldCharType="end"/>
        </w:r>
      </w:hyperlink>
    </w:p>
    <w:p w14:paraId="41B7D2B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8" w:history="1">
        <w:r w:rsidRPr="00C47DA9">
          <w:rPr>
            <w:rStyle w:val="Lienhypertexte"/>
            <w:rFonts w:ascii="Arial" w:hAnsi="Arial" w:cs="Arial"/>
            <w:b/>
            <w:bCs/>
            <w:noProof/>
          </w:rPr>
          <w:t>4.3.2.</w:t>
        </w:r>
        <w:r>
          <w:rPr>
            <w:rFonts w:asciiTheme="minorHAnsi" w:eastAsiaTheme="minorEastAsia" w:hAnsiTheme="minorHAnsi" w:cstheme="minorBidi"/>
            <w:i w:val="0"/>
            <w:iCs w:val="0"/>
            <w:noProof/>
            <w:sz w:val="22"/>
            <w:szCs w:val="22"/>
            <w:lang w:eastAsia="fr-BE"/>
          </w:rPr>
          <w:tab/>
        </w:r>
        <w:r w:rsidRPr="00C47DA9">
          <w:rPr>
            <w:rStyle w:val="Lienhypertexte"/>
            <w:rFonts w:ascii="Arial" w:hAnsi="Arial" w:cs="Arial"/>
            <w:b/>
            <w:bCs/>
            <w:noProof/>
          </w:rPr>
          <w:t>Résumé des sources</w:t>
        </w:r>
        <w:r>
          <w:rPr>
            <w:noProof/>
            <w:webHidden/>
          </w:rPr>
          <w:tab/>
        </w:r>
        <w:r>
          <w:rPr>
            <w:noProof/>
            <w:webHidden/>
          </w:rPr>
          <w:fldChar w:fldCharType="begin"/>
        </w:r>
        <w:r>
          <w:rPr>
            <w:noProof/>
            <w:webHidden/>
          </w:rPr>
          <w:instrText xml:space="preserve"> PAGEREF _Toc482815618 \h </w:instrText>
        </w:r>
        <w:r>
          <w:rPr>
            <w:noProof/>
            <w:webHidden/>
          </w:rPr>
        </w:r>
        <w:r>
          <w:rPr>
            <w:noProof/>
            <w:webHidden/>
          </w:rPr>
          <w:fldChar w:fldCharType="separate"/>
        </w:r>
        <w:r>
          <w:rPr>
            <w:noProof/>
            <w:webHidden/>
          </w:rPr>
          <w:t>52</w:t>
        </w:r>
        <w:r>
          <w:rPr>
            <w:noProof/>
            <w:webHidden/>
          </w:rPr>
          <w:fldChar w:fldCharType="end"/>
        </w:r>
      </w:hyperlink>
    </w:p>
    <w:p w14:paraId="441B8F45"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19" w:history="1">
        <w:r w:rsidRPr="00C47DA9">
          <w:rPr>
            <w:rStyle w:val="Lienhypertexte"/>
            <w:rFonts w:ascii="Arial" w:hAnsi="Arial" w:cs="Arial"/>
            <w:b/>
            <w:bCs/>
            <w:noProof/>
          </w:rPr>
          <w:t>4.3.3.</w:t>
        </w:r>
        <w:r>
          <w:rPr>
            <w:rFonts w:asciiTheme="minorHAnsi" w:eastAsiaTheme="minorEastAsia" w:hAnsiTheme="minorHAnsi" w:cstheme="minorBidi"/>
            <w:i w:val="0"/>
            <w:iCs w:val="0"/>
            <w:noProof/>
            <w:sz w:val="22"/>
            <w:szCs w:val="22"/>
            <w:lang w:eastAsia="fr-BE"/>
          </w:rPr>
          <w:tab/>
        </w:r>
        <w:r w:rsidRPr="00C47DA9">
          <w:rPr>
            <w:rStyle w:val="Lienhypertexte"/>
            <w:rFonts w:ascii="Arial" w:hAnsi="Arial" w:cs="Arial"/>
            <w:b/>
            <w:bCs/>
            <w:noProof/>
          </w:rPr>
          <w:t>Exemples</w:t>
        </w:r>
        <w:r>
          <w:rPr>
            <w:noProof/>
            <w:webHidden/>
          </w:rPr>
          <w:tab/>
        </w:r>
        <w:r>
          <w:rPr>
            <w:noProof/>
            <w:webHidden/>
          </w:rPr>
          <w:fldChar w:fldCharType="begin"/>
        </w:r>
        <w:r>
          <w:rPr>
            <w:noProof/>
            <w:webHidden/>
          </w:rPr>
          <w:instrText xml:space="preserve"> PAGEREF _Toc482815619 \h </w:instrText>
        </w:r>
        <w:r>
          <w:rPr>
            <w:noProof/>
            <w:webHidden/>
          </w:rPr>
        </w:r>
        <w:r>
          <w:rPr>
            <w:noProof/>
            <w:webHidden/>
          </w:rPr>
          <w:fldChar w:fldCharType="separate"/>
        </w:r>
        <w:r>
          <w:rPr>
            <w:noProof/>
            <w:webHidden/>
          </w:rPr>
          <w:t>52</w:t>
        </w:r>
        <w:r>
          <w:rPr>
            <w:noProof/>
            <w:webHidden/>
          </w:rPr>
          <w:fldChar w:fldCharType="end"/>
        </w:r>
      </w:hyperlink>
    </w:p>
    <w:p w14:paraId="70542D4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20" w:history="1">
        <w:r w:rsidRPr="00C47DA9">
          <w:rPr>
            <w:rStyle w:val="Lienhypertexte"/>
            <w:noProof/>
          </w:rPr>
          <w:t>4.4.</w:t>
        </w:r>
        <w:r>
          <w:rPr>
            <w:rFonts w:asciiTheme="minorHAnsi" w:eastAsiaTheme="minorEastAsia" w:hAnsiTheme="minorHAnsi" w:cstheme="minorBidi"/>
            <w:smallCaps w:val="0"/>
            <w:noProof/>
            <w:sz w:val="22"/>
            <w:szCs w:val="22"/>
            <w:lang w:eastAsia="fr-BE"/>
          </w:rPr>
          <w:tab/>
        </w:r>
        <w:r w:rsidRPr="00C47DA9">
          <w:rPr>
            <w:rStyle w:val="Lienhypertexte"/>
            <w:noProof/>
          </w:rPr>
          <w:t>Offre conjointe</w:t>
        </w:r>
        <w:r>
          <w:rPr>
            <w:noProof/>
            <w:webHidden/>
          </w:rPr>
          <w:tab/>
        </w:r>
        <w:r>
          <w:rPr>
            <w:noProof/>
            <w:webHidden/>
          </w:rPr>
          <w:fldChar w:fldCharType="begin"/>
        </w:r>
        <w:r>
          <w:rPr>
            <w:noProof/>
            <w:webHidden/>
          </w:rPr>
          <w:instrText xml:space="preserve"> PAGEREF _Toc482815620 \h </w:instrText>
        </w:r>
        <w:r>
          <w:rPr>
            <w:noProof/>
            <w:webHidden/>
          </w:rPr>
        </w:r>
        <w:r>
          <w:rPr>
            <w:noProof/>
            <w:webHidden/>
          </w:rPr>
          <w:fldChar w:fldCharType="separate"/>
        </w:r>
        <w:r>
          <w:rPr>
            <w:noProof/>
            <w:webHidden/>
          </w:rPr>
          <w:t>53</w:t>
        </w:r>
        <w:r>
          <w:rPr>
            <w:noProof/>
            <w:webHidden/>
          </w:rPr>
          <w:fldChar w:fldCharType="end"/>
        </w:r>
      </w:hyperlink>
    </w:p>
    <w:p w14:paraId="68599CC9"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1" w:history="1">
        <w:r w:rsidRPr="00C47DA9">
          <w:rPr>
            <w:rStyle w:val="Lienhypertexte"/>
            <w:noProof/>
          </w:rPr>
          <w:t>4.4.1.</w:t>
        </w:r>
        <w:r>
          <w:rPr>
            <w:rFonts w:asciiTheme="minorHAnsi" w:eastAsiaTheme="minorEastAsia" w:hAnsiTheme="minorHAnsi" w:cstheme="minorBidi"/>
            <w:i w:val="0"/>
            <w:iCs w:val="0"/>
            <w:noProof/>
            <w:sz w:val="22"/>
            <w:szCs w:val="22"/>
            <w:lang w:eastAsia="fr-BE"/>
          </w:rPr>
          <w:tab/>
        </w:r>
        <w:r w:rsidRPr="00C47DA9">
          <w:rPr>
            <w:rStyle w:val="Lienhypertexte"/>
            <w:noProof/>
          </w:rPr>
          <w:t>Sources de loi</w:t>
        </w:r>
        <w:r>
          <w:rPr>
            <w:noProof/>
            <w:webHidden/>
          </w:rPr>
          <w:tab/>
        </w:r>
        <w:r>
          <w:rPr>
            <w:noProof/>
            <w:webHidden/>
          </w:rPr>
          <w:fldChar w:fldCharType="begin"/>
        </w:r>
        <w:r>
          <w:rPr>
            <w:noProof/>
            <w:webHidden/>
          </w:rPr>
          <w:instrText xml:space="preserve"> PAGEREF _Toc482815621 \h </w:instrText>
        </w:r>
        <w:r>
          <w:rPr>
            <w:noProof/>
            <w:webHidden/>
          </w:rPr>
        </w:r>
        <w:r>
          <w:rPr>
            <w:noProof/>
            <w:webHidden/>
          </w:rPr>
          <w:fldChar w:fldCharType="separate"/>
        </w:r>
        <w:r>
          <w:rPr>
            <w:noProof/>
            <w:webHidden/>
          </w:rPr>
          <w:t>53</w:t>
        </w:r>
        <w:r>
          <w:rPr>
            <w:noProof/>
            <w:webHidden/>
          </w:rPr>
          <w:fldChar w:fldCharType="end"/>
        </w:r>
      </w:hyperlink>
    </w:p>
    <w:p w14:paraId="50E0BA7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2" w:history="1">
        <w:r w:rsidRPr="00C47DA9">
          <w:rPr>
            <w:rStyle w:val="Lienhypertexte"/>
            <w:noProof/>
          </w:rPr>
          <w:t>4.4.2.</w:t>
        </w:r>
        <w:r>
          <w:rPr>
            <w:rFonts w:asciiTheme="minorHAnsi" w:eastAsiaTheme="minorEastAsia" w:hAnsiTheme="minorHAnsi" w:cstheme="minorBidi"/>
            <w:i w:val="0"/>
            <w:iCs w:val="0"/>
            <w:noProof/>
            <w:sz w:val="22"/>
            <w:szCs w:val="22"/>
            <w:lang w:eastAsia="fr-BE"/>
          </w:rPr>
          <w:tab/>
        </w:r>
        <w:r w:rsidRPr="00C47DA9">
          <w:rPr>
            <w:rStyle w:val="Lienhypertexte"/>
            <w:noProof/>
          </w:rPr>
          <w:t>Résumé des sources</w:t>
        </w:r>
        <w:r>
          <w:rPr>
            <w:noProof/>
            <w:webHidden/>
          </w:rPr>
          <w:tab/>
        </w:r>
        <w:r>
          <w:rPr>
            <w:noProof/>
            <w:webHidden/>
          </w:rPr>
          <w:fldChar w:fldCharType="begin"/>
        </w:r>
        <w:r>
          <w:rPr>
            <w:noProof/>
            <w:webHidden/>
          </w:rPr>
          <w:instrText xml:space="preserve"> PAGEREF _Toc482815622 \h </w:instrText>
        </w:r>
        <w:r>
          <w:rPr>
            <w:noProof/>
            <w:webHidden/>
          </w:rPr>
        </w:r>
        <w:r>
          <w:rPr>
            <w:noProof/>
            <w:webHidden/>
          </w:rPr>
          <w:fldChar w:fldCharType="separate"/>
        </w:r>
        <w:r>
          <w:rPr>
            <w:noProof/>
            <w:webHidden/>
          </w:rPr>
          <w:t>53</w:t>
        </w:r>
        <w:r>
          <w:rPr>
            <w:noProof/>
            <w:webHidden/>
          </w:rPr>
          <w:fldChar w:fldCharType="end"/>
        </w:r>
      </w:hyperlink>
    </w:p>
    <w:p w14:paraId="585D3859"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3" w:history="1">
        <w:r w:rsidRPr="00C47DA9">
          <w:rPr>
            <w:rStyle w:val="Lienhypertexte"/>
            <w:noProof/>
          </w:rPr>
          <w:t>4.4.3.</w:t>
        </w:r>
        <w:r>
          <w:rPr>
            <w:rFonts w:asciiTheme="minorHAnsi" w:eastAsiaTheme="minorEastAsia" w:hAnsiTheme="minorHAnsi" w:cstheme="minorBidi"/>
            <w:i w:val="0"/>
            <w:iCs w:val="0"/>
            <w:noProof/>
            <w:sz w:val="22"/>
            <w:szCs w:val="22"/>
            <w:lang w:eastAsia="fr-BE"/>
          </w:rPr>
          <w:tab/>
        </w:r>
        <w:r w:rsidRPr="00C47DA9">
          <w:rPr>
            <w:rStyle w:val="Lienhypertexte"/>
            <w:noProof/>
          </w:rPr>
          <w:t>Exemples</w:t>
        </w:r>
        <w:r>
          <w:rPr>
            <w:noProof/>
            <w:webHidden/>
          </w:rPr>
          <w:tab/>
        </w:r>
        <w:r>
          <w:rPr>
            <w:noProof/>
            <w:webHidden/>
          </w:rPr>
          <w:fldChar w:fldCharType="begin"/>
        </w:r>
        <w:r>
          <w:rPr>
            <w:noProof/>
            <w:webHidden/>
          </w:rPr>
          <w:instrText xml:space="preserve"> PAGEREF _Toc482815623 \h </w:instrText>
        </w:r>
        <w:r>
          <w:rPr>
            <w:noProof/>
            <w:webHidden/>
          </w:rPr>
        </w:r>
        <w:r>
          <w:rPr>
            <w:noProof/>
            <w:webHidden/>
          </w:rPr>
          <w:fldChar w:fldCharType="separate"/>
        </w:r>
        <w:r>
          <w:rPr>
            <w:noProof/>
            <w:webHidden/>
          </w:rPr>
          <w:t>53</w:t>
        </w:r>
        <w:r>
          <w:rPr>
            <w:noProof/>
            <w:webHidden/>
          </w:rPr>
          <w:fldChar w:fldCharType="end"/>
        </w:r>
      </w:hyperlink>
    </w:p>
    <w:p w14:paraId="0B478A1F"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24" w:history="1">
        <w:r w:rsidRPr="00C47DA9">
          <w:rPr>
            <w:rStyle w:val="Lienhypertexte"/>
            <w:noProof/>
          </w:rPr>
          <w:t>4.5.</w:t>
        </w:r>
        <w:r>
          <w:rPr>
            <w:rFonts w:asciiTheme="minorHAnsi" w:eastAsiaTheme="minorEastAsia" w:hAnsiTheme="minorHAnsi" w:cstheme="minorBidi"/>
            <w:smallCaps w:val="0"/>
            <w:noProof/>
            <w:sz w:val="22"/>
            <w:szCs w:val="22"/>
            <w:lang w:eastAsia="fr-BE"/>
          </w:rPr>
          <w:tab/>
        </w:r>
        <w:r w:rsidRPr="00C47DA9">
          <w:rPr>
            <w:rStyle w:val="Lienhypertexte"/>
            <w:noProof/>
          </w:rPr>
          <w:t>Clauses contractuelles abusives</w:t>
        </w:r>
        <w:r>
          <w:rPr>
            <w:noProof/>
            <w:webHidden/>
          </w:rPr>
          <w:tab/>
        </w:r>
        <w:r>
          <w:rPr>
            <w:noProof/>
            <w:webHidden/>
          </w:rPr>
          <w:fldChar w:fldCharType="begin"/>
        </w:r>
        <w:r>
          <w:rPr>
            <w:noProof/>
            <w:webHidden/>
          </w:rPr>
          <w:instrText xml:space="preserve"> PAGEREF _Toc482815624 \h </w:instrText>
        </w:r>
        <w:r>
          <w:rPr>
            <w:noProof/>
            <w:webHidden/>
          </w:rPr>
        </w:r>
        <w:r>
          <w:rPr>
            <w:noProof/>
            <w:webHidden/>
          </w:rPr>
          <w:fldChar w:fldCharType="separate"/>
        </w:r>
        <w:r>
          <w:rPr>
            <w:noProof/>
            <w:webHidden/>
          </w:rPr>
          <w:t>55</w:t>
        </w:r>
        <w:r>
          <w:rPr>
            <w:noProof/>
            <w:webHidden/>
          </w:rPr>
          <w:fldChar w:fldCharType="end"/>
        </w:r>
      </w:hyperlink>
    </w:p>
    <w:p w14:paraId="528A8E4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5" w:history="1">
        <w:r w:rsidRPr="00C47DA9">
          <w:rPr>
            <w:rStyle w:val="Lienhypertexte"/>
            <w:noProof/>
          </w:rPr>
          <w:t>4.5.1.</w:t>
        </w:r>
        <w:r>
          <w:rPr>
            <w:rFonts w:asciiTheme="minorHAnsi" w:eastAsiaTheme="minorEastAsia" w:hAnsiTheme="minorHAnsi" w:cstheme="minorBidi"/>
            <w:i w:val="0"/>
            <w:iCs w:val="0"/>
            <w:noProof/>
            <w:sz w:val="22"/>
            <w:szCs w:val="22"/>
            <w:lang w:eastAsia="fr-BE"/>
          </w:rPr>
          <w:tab/>
        </w:r>
        <w:r w:rsidRPr="00C47DA9">
          <w:rPr>
            <w:rStyle w:val="Lienhypertexte"/>
            <w:noProof/>
          </w:rPr>
          <w:t>Sources de droit</w:t>
        </w:r>
        <w:r>
          <w:rPr>
            <w:noProof/>
            <w:webHidden/>
          </w:rPr>
          <w:tab/>
        </w:r>
        <w:r>
          <w:rPr>
            <w:noProof/>
            <w:webHidden/>
          </w:rPr>
          <w:fldChar w:fldCharType="begin"/>
        </w:r>
        <w:r>
          <w:rPr>
            <w:noProof/>
            <w:webHidden/>
          </w:rPr>
          <w:instrText xml:space="preserve"> PAGEREF _Toc482815625 \h </w:instrText>
        </w:r>
        <w:r>
          <w:rPr>
            <w:noProof/>
            <w:webHidden/>
          </w:rPr>
        </w:r>
        <w:r>
          <w:rPr>
            <w:noProof/>
            <w:webHidden/>
          </w:rPr>
          <w:fldChar w:fldCharType="separate"/>
        </w:r>
        <w:r>
          <w:rPr>
            <w:noProof/>
            <w:webHidden/>
          </w:rPr>
          <w:t>55</w:t>
        </w:r>
        <w:r>
          <w:rPr>
            <w:noProof/>
            <w:webHidden/>
          </w:rPr>
          <w:fldChar w:fldCharType="end"/>
        </w:r>
      </w:hyperlink>
    </w:p>
    <w:p w14:paraId="2881B49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6" w:history="1">
        <w:r w:rsidRPr="00C47DA9">
          <w:rPr>
            <w:rStyle w:val="Lienhypertexte"/>
            <w:noProof/>
          </w:rPr>
          <w:t>4.5.2.</w:t>
        </w:r>
        <w:r>
          <w:rPr>
            <w:rFonts w:asciiTheme="minorHAnsi" w:eastAsiaTheme="minorEastAsia" w:hAnsiTheme="minorHAnsi" w:cstheme="minorBidi"/>
            <w:i w:val="0"/>
            <w:iCs w:val="0"/>
            <w:noProof/>
            <w:sz w:val="22"/>
            <w:szCs w:val="22"/>
            <w:lang w:eastAsia="fr-BE"/>
          </w:rPr>
          <w:tab/>
        </w:r>
        <w:r w:rsidRPr="00C47DA9">
          <w:rPr>
            <w:rStyle w:val="Lienhypertexte"/>
            <w:noProof/>
          </w:rPr>
          <w:t>Explication et synthèse du sujet</w:t>
        </w:r>
        <w:r>
          <w:rPr>
            <w:noProof/>
            <w:webHidden/>
          </w:rPr>
          <w:tab/>
        </w:r>
        <w:r>
          <w:rPr>
            <w:noProof/>
            <w:webHidden/>
          </w:rPr>
          <w:fldChar w:fldCharType="begin"/>
        </w:r>
        <w:r>
          <w:rPr>
            <w:noProof/>
            <w:webHidden/>
          </w:rPr>
          <w:instrText xml:space="preserve"> PAGEREF _Toc482815626 \h </w:instrText>
        </w:r>
        <w:r>
          <w:rPr>
            <w:noProof/>
            <w:webHidden/>
          </w:rPr>
        </w:r>
        <w:r>
          <w:rPr>
            <w:noProof/>
            <w:webHidden/>
          </w:rPr>
          <w:fldChar w:fldCharType="separate"/>
        </w:r>
        <w:r>
          <w:rPr>
            <w:noProof/>
            <w:webHidden/>
          </w:rPr>
          <w:t>55</w:t>
        </w:r>
        <w:r>
          <w:rPr>
            <w:noProof/>
            <w:webHidden/>
          </w:rPr>
          <w:fldChar w:fldCharType="end"/>
        </w:r>
      </w:hyperlink>
    </w:p>
    <w:p w14:paraId="12F969BC"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7" w:history="1">
        <w:r w:rsidRPr="00C47DA9">
          <w:rPr>
            <w:rStyle w:val="Lienhypertexte"/>
            <w:noProof/>
          </w:rPr>
          <w:t>4.5.3.</w:t>
        </w:r>
        <w:r>
          <w:rPr>
            <w:rFonts w:asciiTheme="minorHAnsi" w:eastAsiaTheme="minorEastAsia" w:hAnsiTheme="minorHAnsi" w:cstheme="minorBidi"/>
            <w:i w:val="0"/>
            <w:iCs w:val="0"/>
            <w:noProof/>
            <w:sz w:val="22"/>
            <w:szCs w:val="22"/>
            <w:lang w:eastAsia="fr-BE"/>
          </w:rPr>
          <w:tab/>
        </w:r>
        <w:r w:rsidRPr="00C47DA9">
          <w:rPr>
            <w:rStyle w:val="Lienhypertexte"/>
            <w:noProof/>
          </w:rPr>
          <w:t>Exemples</w:t>
        </w:r>
        <w:r>
          <w:rPr>
            <w:noProof/>
            <w:webHidden/>
          </w:rPr>
          <w:tab/>
        </w:r>
        <w:r>
          <w:rPr>
            <w:noProof/>
            <w:webHidden/>
          </w:rPr>
          <w:fldChar w:fldCharType="begin"/>
        </w:r>
        <w:r>
          <w:rPr>
            <w:noProof/>
            <w:webHidden/>
          </w:rPr>
          <w:instrText xml:space="preserve"> PAGEREF _Toc482815627 \h </w:instrText>
        </w:r>
        <w:r>
          <w:rPr>
            <w:noProof/>
            <w:webHidden/>
          </w:rPr>
        </w:r>
        <w:r>
          <w:rPr>
            <w:noProof/>
            <w:webHidden/>
          </w:rPr>
          <w:fldChar w:fldCharType="separate"/>
        </w:r>
        <w:r>
          <w:rPr>
            <w:noProof/>
            <w:webHidden/>
          </w:rPr>
          <w:t>57</w:t>
        </w:r>
        <w:r>
          <w:rPr>
            <w:noProof/>
            <w:webHidden/>
          </w:rPr>
          <w:fldChar w:fldCharType="end"/>
        </w:r>
      </w:hyperlink>
    </w:p>
    <w:p w14:paraId="055A0E38"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28" w:history="1">
        <w:r w:rsidRPr="00C47DA9">
          <w:rPr>
            <w:rStyle w:val="Lienhypertexte"/>
            <w:noProof/>
          </w:rPr>
          <w:t>4.6.</w:t>
        </w:r>
        <w:r>
          <w:rPr>
            <w:rFonts w:asciiTheme="minorHAnsi" w:eastAsiaTheme="minorEastAsia" w:hAnsiTheme="minorHAnsi" w:cstheme="minorBidi"/>
            <w:smallCaps w:val="0"/>
            <w:noProof/>
            <w:sz w:val="22"/>
            <w:szCs w:val="22"/>
            <w:lang w:eastAsia="fr-BE"/>
          </w:rPr>
          <w:tab/>
        </w:r>
        <w:r w:rsidRPr="00C47DA9">
          <w:rPr>
            <w:rStyle w:val="Lienhypertexte"/>
            <w:noProof/>
          </w:rPr>
          <w:t>Pratiques interdites</w:t>
        </w:r>
        <w:r>
          <w:rPr>
            <w:noProof/>
            <w:webHidden/>
          </w:rPr>
          <w:tab/>
        </w:r>
        <w:r>
          <w:rPr>
            <w:noProof/>
            <w:webHidden/>
          </w:rPr>
          <w:fldChar w:fldCharType="begin"/>
        </w:r>
        <w:r>
          <w:rPr>
            <w:noProof/>
            <w:webHidden/>
          </w:rPr>
          <w:instrText xml:space="preserve"> PAGEREF _Toc482815628 \h </w:instrText>
        </w:r>
        <w:r>
          <w:rPr>
            <w:noProof/>
            <w:webHidden/>
          </w:rPr>
        </w:r>
        <w:r>
          <w:rPr>
            <w:noProof/>
            <w:webHidden/>
          </w:rPr>
          <w:fldChar w:fldCharType="separate"/>
        </w:r>
        <w:r>
          <w:rPr>
            <w:noProof/>
            <w:webHidden/>
          </w:rPr>
          <w:t>58</w:t>
        </w:r>
        <w:r>
          <w:rPr>
            <w:noProof/>
            <w:webHidden/>
          </w:rPr>
          <w:fldChar w:fldCharType="end"/>
        </w:r>
      </w:hyperlink>
    </w:p>
    <w:p w14:paraId="6AE0214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29" w:history="1">
        <w:r w:rsidRPr="00C47DA9">
          <w:rPr>
            <w:rStyle w:val="Lienhypertexte"/>
            <w:noProof/>
          </w:rPr>
          <w:t>4.6.1.</w:t>
        </w:r>
        <w:r>
          <w:rPr>
            <w:rFonts w:asciiTheme="minorHAnsi" w:eastAsiaTheme="minorEastAsia" w:hAnsiTheme="minorHAnsi" w:cstheme="minorBidi"/>
            <w:i w:val="0"/>
            <w:iCs w:val="0"/>
            <w:noProof/>
            <w:sz w:val="22"/>
            <w:szCs w:val="22"/>
            <w:lang w:eastAsia="fr-BE"/>
          </w:rPr>
          <w:tab/>
        </w:r>
        <w:r w:rsidRPr="00C47DA9">
          <w:rPr>
            <w:rStyle w:val="Lienhypertexte"/>
            <w:noProof/>
          </w:rPr>
          <w:t>Sources de loi</w:t>
        </w:r>
        <w:r>
          <w:rPr>
            <w:noProof/>
            <w:webHidden/>
          </w:rPr>
          <w:tab/>
        </w:r>
        <w:r>
          <w:rPr>
            <w:noProof/>
            <w:webHidden/>
          </w:rPr>
          <w:fldChar w:fldCharType="begin"/>
        </w:r>
        <w:r>
          <w:rPr>
            <w:noProof/>
            <w:webHidden/>
          </w:rPr>
          <w:instrText xml:space="preserve"> PAGEREF _Toc482815629 \h </w:instrText>
        </w:r>
        <w:r>
          <w:rPr>
            <w:noProof/>
            <w:webHidden/>
          </w:rPr>
        </w:r>
        <w:r>
          <w:rPr>
            <w:noProof/>
            <w:webHidden/>
          </w:rPr>
          <w:fldChar w:fldCharType="separate"/>
        </w:r>
        <w:r>
          <w:rPr>
            <w:noProof/>
            <w:webHidden/>
          </w:rPr>
          <w:t>58</w:t>
        </w:r>
        <w:r>
          <w:rPr>
            <w:noProof/>
            <w:webHidden/>
          </w:rPr>
          <w:fldChar w:fldCharType="end"/>
        </w:r>
      </w:hyperlink>
    </w:p>
    <w:p w14:paraId="336A988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0" w:history="1">
        <w:r w:rsidRPr="00C47DA9">
          <w:rPr>
            <w:rStyle w:val="Lienhypertexte"/>
            <w:noProof/>
          </w:rPr>
          <w:t>4.6.2.</w:t>
        </w:r>
        <w:r>
          <w:rPr>
            <w:rFonts w:asciiTheme="minorHAnsi" w:eastAsiaTheme="minorEastAsia" w:hAnsiTheme="minorHAnsi" w:cstheme="minorBidi"/>
            <w:i w:val="0"/>
            <w:iCs w:val="0"/>
            <w:noProof/>
            <w:sz w:val="22"/>
            <w:szCs w:val="22"/>
            <w:lang w:eastAsia="fr-BE"/>
          </w:rPr>
          <w:tab/>
        </w:r>
        <w:r w:rsidRPr="00C47DA9">
          <w:rPr>
            <w:rStyle w:val="Lienhypertexte"/>
            <w:noProof/>
          </w:rPr>
          <w:t>Résumé du sujet</w:t>
        </w:r>
        <w:r>
          <w:rPr>
            <w:noProof/>
            <w:webHidden/>
          </w:rPr>
          <w:tab/>
        </w:r>
        <w:r>
          <w:rPr>
            <w:noProof/>
            <w:webHidden/>
          </w:rPr>
          <w:fldChar w:fldCharType="begin"/>
        </w:r>
        <w:r>
          <w:rPr>
            <w:noProof/>
            <w:webHidden/>
          </w:rPr>
          <w:instrText xml:space="preserve"> PAGEREF _Toc482815630 \h </w:instrText>
        </w:r>
        <w:r>
          <w:rPr>
            <w:noProof/>
            <w:webHidden/>
          </w:rPr>
        </w:r>
        <w:r>
          <w:rPr>
            <w:noProof/>
            <w:webHidden/>
          </w:rPr>
          <w:fldChar w:fldCharType="separate"/>
        </w:r>
        <w:r>
          <w:rPr>
            <w:noProof/>
            <w:webHidden/>
          </w:rPr>
          <w:t>58</w:t>
        </w:r>
        <w:r>
          <w:rPr>
            <w:noProof/>
            <w:webHidden/>
          </w:rPr>
          <w:fldChar w:fldCharType="end"/>
        </w:r>
      </w:hyperlink>
    </w:p>
    <w:p w14:paraId="1B6B7D18"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1" w:history="1">
        <w:r w:rsidRPr="00C47DA9">
          <w:rPr>
            <w:rStyle w:val="Lienhypertexte"/>
            <w:noProof/>
          </w:rPr>
          <w:t>4.6.3.</w:t>
        </w:r>
        <w:r>
          <w:rPr>
            <w:rFonts w:asciiTheme="minorHAnsi" w:eastAsiaTheme="minorEastAsia" w:hAnsiTheme="minorHAnsi" w:cstheme="minorBidi"/>
            <w:i w:val="0"/>
            <w:iCs w:val="0"/>
            <w:noProof/>
            <w:sz w:val="22"/>
            <w:szCs w:val="22"/>
            <w:lang w:eastAsia="fr-BE"/>
          </w:rPr>
          <w:tab/>
        </w:r>
        <w:r w:rsidRPr="00C47DA9">
          <w:rPr>
            <w:rStyle w:val="Lienhypertexte"/>
            <w:noProof/>
            <w:shd w:val="clear" w:color="auto" w:fill="FFFFFF"/>
          </w:rPr>
          <w:t>Exemples</w:t>
        </w:r>
        <w:r>
          <w:rPr>
            <w:noProof/>
            <w:webHidden/>
          </w:rPr>
          <w:tab/>
        </w:r>
        <w:r>
          <w:rPr>
            <w:noProof/>
            <w:webHidden/>
          </w:rPr>
          <w:fldChar w:fldCharType="begin"/>
        </w:r>
        <w:r>
          <w:rPr>
            <w:noProof/>
            <w:webHidden/>
          </w:rPr>
          <w:instrText xml:space="preserve"> PAGEREF _Toc482815631 \h </w:instrText>
        </w:r>
        <w:r>
          <w:rPr>
            <w:noProof/>
            <w:webHidden/>
          </w:rPr>
        </w:r>
        <w:r>
          <w:rPr>
            <w:noProof/>
            <w:webHidden/>
          </w:rPr>
          <w:fldChar w:fldCharType="separate"/>
        </w:r>
        <w:r>
          <w:rPr>
            <w:noProof/>
            <w:webHidden/>
          </w:rPr>
          <w:t>61</w:t>
        </w:r>
        <w:r>
          <w:rPr>
            <w:noProof/>
            <w:webHidden/>
          </w:rPr>
          <w:fldChar w:fldCharType="end"/>
        </w:r>
      </w:hyperlink>
    </w:p>
    <w:p w14:paraId="05AABEB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32" w:history="1">
        <w:r w:rsidRPr="00C47DA9">
          <w:rPr>
            <w:rStyle w:val="Lienhypertexte"/>
            <w:noProof/>
          </w:rPr>
          <w:t>4.7.</w:t>
        </w:r>
        <w:r>
          <w:rPr>
            <w:rFonts w:asciiTheme="minorHAnsi" w:eastAsiaTheme="minorEastAsia" w:hAnsiTheme="minorHAnsi" w:cstheme="minorBidi"/>
            <w:smallCaps w:val="0"/>
            <w:noProof/>
            <w:sz w:val="22"/>
            <w:szCs w:val="22"/>
            <w:lang w:eastAsia="fr-BE"/>
          </w:rPr>
          <w:tab/>
        </w:r>
        <w:r w:rsidRPr="00C47DA9">
          <w:rPr>
            <w:rStyle w:val="Lienhypertexte"/>
            <w:noProof/>
          </w:rPr>
          <w:t>Pratiques interdites altérant la libre concurrence</w:t>
        </w:r>
        <w:r>
          <w:rPr>
            <w:noProof/>
            <w:webHidden/>
          </w:rPr>
          <w:tab/>
        </w:r>
        <w:r>
          <w:rPr>
            <w:noProof/>
            <w:webHidden/>
          </w:rPr>
          <w:fldChar w:fldCharType="begin"/>
        </w:r>
        <w:r>
          <w:rPr>
            <w:noProof/>
            <w:webHidden/>
          </w:rPr>
          <w:instrText xml:space="preserve"> PAGEREF _Toc482815632 \h </w:instrText>
        </w:r>
        <w:r>
          <w:rPr>
            <w:noProof/>
            <w:webHidden/>
          </w:rPr>
        </w:r>
        <w:r>
          <w:rPr>
            <w:noProof/>
            <w:webHidden/>
          </w:rPr>
          <w:fldChar w:fldCharType="separate"/>
        </w:r>
        <w:r>
          <w:rPr>
            <w:noProof/>
            <w:webHidden/>
          </w:rPr>
          <w:t>61</w:t>
        </w:r>
        <w:r>
          <w:rPr>
            <w:noProof/>
            <w:webHidden/>
          </w:rPr>
          <w:fldChar w:fldCharType="end"/>
        </w:r>
      </w:hyperlink>
    </w:p>
    <w:p w14:paraId="0263206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33" w:history="1">
        <w:r w:rsidRPr="00C47DA9">
          <w:rPr>
            <w:rStyle w:val="Lienhypertexte"/>
            <w:noProof/>
          </w:rPr>
          <w:t>4.8.</w:t>
        </w:r>
        <w:r>
          <w:rPr>
            <w:rFonts w:asciiTheme="minorHAnsi" w:eastAsiaTheme="minorEastAsia" w:hAnsiTheme="minorHAnsi" w:cstheme="minorBidi"/>
            <w:smallCaps w:val="0"/>
            <w:noProof/>
            <w:sz w:val="22"/>
            <w:szCs w:val="22"/>
            <w:lang w:eastAsia="fr-BE"/>
          </w:rPr>
          <w:tab/>
        </w:r>
        <w:r w:rsidRPr="00C47DA9">
          <w:rPr>
            <w:rStyle w:val="Lienhypertexte"/>
            <w:noProof/>
          </w:rPr>
          <w:t>Nom commercial, logo, marque</w:t>
        </w:r>
        <w:r>
          <w:rPr>
            <w:noProof/>
            <w:webHidden/>
          </w:rPr>
          <w:tab/>
        </w:r>
        <w:r>
          <w:rPr>
            <w:noProof/>
            <w:webHidden/>
          </w:rPr>
          <w:fldChar w:fldCharType="begin"/>
        </w:r>
        <w:r>
          <w:rPr>
            <w:noProof/>
            <w:webHidden/>
          </w:rPr>
          <w:instrText xml:space="preserve"> PAGEREF _Toc482815633 \h </w:instrText>
        </w:r>
        <w:r>
          <w:rPr>
            <w:noProof/>
            <w:webHidden/>
          </w:rPr>
        </w:r>
        <w:r>
          <w:rPr>
            <w:noProof/>
            <w:webHidden/>
          </w:rPr>
          <w:fldChar w:fldCharType="separate"/>
        </w:r>
        <w:r>
          <w:rPr>
            <w:noProof/>
            <w:webHidden/>
          </w:rPr>
          <w:t>61</w:t>
        </w:r>
        <w:r>
          <w:rPr>
            <w:noProof/>
            <w:webHidden/>
          </w:rPr>
          <w:fldChar w:fldCharType="end"/>
        </w:r>
      </w:hyperlink>
    </w:p>
    <w:p w14:paraId="2FDF433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4" w:history="1">
        <w:r w:rsidRPr="00C47DA9">
          <w:rPr>
            <w:rStyle w:val="Lienhypertexte"/>
            <w:noProof/>
            <w:lang w:eastAsia="en-US"/>
          </w:rPr>
          <w:t>4.8.1.</w:t>
        </w:r>
        <w:r>
          <w:rPr>
            <w:rFonts w:asciiTheme="minorHAnsi" w:eastAsiaTheme="minorEastAsia" w:hAnsiTheme="minorHAnsi" w:cstheme="minorBidi"/>
            <w:i w:val="0"/>
            <w:iCs w:val="0"/>
            <w:noProof/>
            <w:sz w:val="22"/>
            <w:szCs w:val="22"/>
            <w:lang w:eastAsia="fr-BE"/>
          </w:rPr>
          <w:tab/>
        </w:r>
        <w:r w:rsidRPr="00C47DA9">
          <w:rPr>
            <w:rStyle w:val="Lienhypertexte"/>
            <w:noProof/>
            <w:lang w:eastAsia="en-US"/>
          </w:rPr>
          <w:t>Introduction</w:t>
        </w:r>
        <w:r>
          <w:rPr>
            <w:noProof/>
            <w:webHidden/>
          </w:rPr>
          <w:tab/>
        </w:r>
        <w:r>
          <w:rPr>
            <w:noProof/>
            <w:webHidden/>
          </w:rPr>
          <w:fldChar w:fldCharType="begin"/>
        </w:r>
        <w:r>
          <w:rPr>
            <w:noProof/>
            <w:webHidden/>
          </w:rPr>
          <w:instrText xml:space="preserve"> PAGEREF _Toc482815634 \h </w:instrText>
        </w:r>
        <w:r>
          <w:rPr>
            <w:noProof/>
            <w:webHidden/>
          </w:rPr>
        </w:r>
        <w:r>
          <w:rPr>
            <w:noProof/>
            <w:webHidden/>
          </w:rPr>
          <w:fldChar w:fldCharType="separate"/>
        </w:r>
        <w:r>
          <w:rPr>
            <w:noProof/>
            <w:webHidden/>
          </w:rPr>
          <w:t>61</w:t>
        </w:r>
        <w:r>
          <w:rPr>
            <w:noProof/>
            <w:webHidden/>
          </w:rPr>
          <w:fldChar w:fldCharType="end"/>
        </w:r>
      </w:hyperlink>
    </w:p>
    <w:p w14:paraId="23239F55"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5" w:history="1">
        <w:r w:rsidRPr="00C47DA9">
          <w:rPr>
            <w:rStyle w:val="Lienhypertexte"/>
            <w:noProof/>
          </w:rPr>
          <w:t>4.8.2.</w:t>
        </w:r>
        <w:r>
          <w:rPr>
            <w:rFonts w:asciiTheme="minorHAnsi" w:eastAsiaTheme="minorEastAsia" w:hAnsiTheme="minorHAnsi" w:cstheme="minorBidi"/>
            <w:i w:val="0"/>
            <w:iCs w:val="0"/>
            <w:noProof/>
            <w:sz w:val="22"/>
            <w:szCs w:val="22"/>
            <w:lang w:eastAsia="fr-BE"/>
          </w:rPr>
          <w:tab/>
        </w:r>
        <w:r w:rsidRPr="00C47DA9">
          <w:rPr>
            <w:rStyle w:val="Lienhypertexte"/>
            <w:noProof/>
          </w:rPr>
          <w:t>Cadre du logo</w:t>
        </w:r>
        <w:r>
          <w:rPr>
            <w:noProof/>
            <w:webHidden/>
          </w:rPr>
          <w:tab/>
        </w:r>
        <w:r>
          <w:rPr>
            <w:noProof/>
            <w:webHidden/>
          </w:rPr>
          <w:fldChar w:fldCharType="begin"/>
        </w:r>
        <w:r>
          <w:rPr>
            <w:noProof/>
            <w:webHidden/>
          </w:rPr>
          <w:instrText xml:space="preserve"> PAGEREF _Toc482815635 \h </w:instrText>
        </w:r>
        <w:r>
          <w:rPr>
            <w:noProof/>
            <w:webHidden/>
          </w:rPr>
        </w:r>
        <w:r>
          <w:rPr>
            <w:noProof/>
            <w:webHidden/>
          </w:rPr>
          <w:fldChar w:fldCharType="separate"/>
        </w:r>
        <w:r>
          <w:rPr>
            <w:noProof/>
            <w:webHidden/>
          </w:rPr>
          <w:t>62</w:t>
        </w:r>
        <w:r>
          <w:rPr>
            <w:noProof/>
            <w:webHidden/>
          </w:rPr>
          <w:fldChar w:fldCharType="end"/>
        </w:r>
      </w:hyperlink>
    </w:p>
    <w:p w14:paraId="28A44963"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6" w:history="1">
        <w:r w:rsidRPr="00C47DA9">
          <w:rPr>
            <w:rStyle w:val="Lienhypertexte"/>
            <w:noProof/>
          </w:rPr>
          <w:t>4.8.3.</w:t>
        </w:r>
        <w:r>
          <w:rPr>
            <w:rFonts w:asciiTheme="minorHAnsi" w:eastAsiaTheme="minorEastAsia" w:hAnsiTheme="minorHAnsi" w:cstheme="minorBidi"/>
            <w:i w:val="0"/>
            <w:iCs w:val="0"/>
            <w:noProof/>
            <w:sz w:val="22"/>
            <w:szCs w:val="22"/>
            <w:lang w:eastAsia="fr-BE"/>
          </w:rPr>
          <w:tab/>
        </w:r>
        <w:r w:rsidRPr="00C47DA9">
          <w:rPr>
            <w:rStyle w:val="Lienhypertexte"/>
            <w:noProof/>
          </w:rPr>
          <w:t>La propriété intellectuelle et son droit</w:t>
        </w:r>
        <w:r>
          <w:rPr>
            <w:noProof/>
            <w:webHidden/>
          </w:rPr>
          <w:tab/>
        </w:r>
        <w:r>
          <w:rPr>
            <w:noProof/>
            <w:webHidden/>
          </w:rPr>
          <w:fldChar w:fldCharType="begin"/>
        </w:r>
        <w:r>
          <w:rPr>
            <w:noProof/>
            <w:webHidden/>
          </w:rPr>
          <w:instrText xml:space="preserve"> PAGEREF _Toc482815636 \h </w:instrText>
        </w:r>
        <w:r>
          <w:rPr>
            <w:noProof/>
            <w:webHidden/>
          </w:rPr>
        </w:r>
        <w:r>
          <w:rPr>
            <w:noProof/>
            <w:webHidden/>
          </w:rPr>
          <w:fldChar w:fldCharType="separate"/>
        </w:r>
        <w:r>
          <w:rPr>
            <w:noProof/>
            <w:webHidden/>
          </w:rPr>
          <w:t>63</w:t>
        </w:r>
        <w:r>
          <w:rPr>
            <w:noProof/>
            <w:webHidden/>
          </w:rPr>
          <w:fldChar w:fldCharType="end"/>
        </w:r>
      </w:hyperlink>
    </w:p>
    <w:p w14:paraId="41A015B5"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7" w:history="1">
        <w:r w:rsidRPr="00C47DA9">
          <w:rPr>
            <w:rStyle w:val="Lienhypertexte"/>
            <w:noProof/>
          </w:rPr>
          <w:t>4.8.4.</w:t>
        </w:r>
        <w:r>
          <w:rPr>
            <w:rFonts w:asciiTheme="minorHAnsi" w:eastAsiaTheme="minorEastAsia" w:hAnsiTheme="minorHAnsi" w:cstheme="minorBidi"/>
            <w:i w:val="0"/>
            <w:iCs w:val="0"/>
            <w:noProof/>
            <w:sz w:val="22"/>
            <w:szCs w:val="22"/>
            <w:lang w:eastAsia="fr-BE"/>
          </w:rPr>
          <w:tab/>
        </w:r>
        <w:r w:rsidRPr="00C47DA9">
          <w:rPr>
            <w:rStyle w:val="Lienhypertexte"/>
            <w:noProof/>
          </w:rPr>
          <w:t>Les marques</w:t>
        </w:r>
        <w:r>
          <w:rPr>
            <w:noProof/>
            <w:webHidden/>
          </w:rPr>
          <w:tab/>
        </w:r>
        <w:r>
          <w:rPr>
            <w:noProof/>
            <w:webHidden/>
          </w:rPr>
          <w:fldChar w:fldCharType="begin"/>
        </w:r>
        <w:r>
          <w:rPr>
            <w:noProof/>
            <w:webHidden/>
          </w:rPr>
          <w:instrText xml:space="preserve"> PAGEREF _Toc482815637 \h </w:instrText>
        </w:r>
        <w:r>
          <w:rPr>
            <w:noProof/>
            <w:webHidden/>
          </w:rPr>
        </w:r>
        <w:r>
          <w:rPr>
            <w:noProof/>
            <w:webHidden/>
          </w:rPr>
          <w:fldChar w:fldCharType="separate"/>
        </w:r>
        <w:r>
          <w:rPr>
            <w:noProof/>
            <w:webHidden/>
          </w:rPr>
          <w:t>64</w:t>
        </w:r>
        <w:r>
          <w:rPr>
            <w:noProof/>
            <w:webHidden/>
          </w:rPr>
          <w:fldChar w:fldCharType="end"/>
        </w:r>
      </w:hyperlink>
    </w:p>
    <w:p w14:paraId="356DAA2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8" w:history="1">
        <w:r w:rsidRPr="00C47DA9">
          <w:rPr>
            <w:rStyle w:val="Lienhypertexte"/>
            <w:noProof/>
          </w:rPr>
          <w:t>4.8.5.</w:t>
        </w:r>
        <w:r>
          <w:rPr>
            <w:rFonts w:asciiTheme="minorHAnsi" w:eastAsiaTheme="minorEastAsia" w:hAnsiTheme="minorHAnsi" w:cstheme="minorBidi"/>
            <w:i w:val="0"/>
            <w:iCs w:val="0"/>
            <w:noProof/>
            <w:sz w:val="22"/>
            <w:szCs w:val="22"/>
            <w:lang w:eastAsia="fr-BE"/>
          </w:rPr>
          <w:tab/>
        </w:r>
        <w:r w:rsidRPr="00C47DA9">
          <w:rPr>
            <w:rStyle w:val="Lienhypertexte"/>
            <w:noProof/>
          </w:rPr>
          <w:t>La création de société - Mode d’emploi</w:t>
        </w:r>
        <w:r>
          <w:rPr>
            <w:noProof/>
            <w:webHidden/>
          </w:rPr>
          <w:tab/>
        </w:r>
        <w:r>
          <w:rPr>
            <w:noProof/>
            <w:webHidden/>
          </w:rPr>
          <w:fldChar w:fldCharType="begin"/>
        </w:r>
        <w:r>
          <w:rPr>
            <w:noProof/>
            <w:webHidden/>
          </w:rPr>
          <w:instrText xml:space="preserve"> PAGEREF _Toc482815638 \h </w:instrText>
        </w:r>
        <w:r>
          <w:rPr>
            <w:noProof/>
            <w:webHidden/>
          </w:rPr>
        </w:r>
        <w:r>
          <w:rPr>
            <w:noProof/>
            <w:webHidden/>
          </w:rPr>
          <w:fldChar w:fldCharType="separate"/>
        </w:r>
        <w:r>
          <w:rPr>
            <w:noProof/>
            <w:webHidden/>
          </w:rPr>
          <w:t>65</w:t>
        </w:r>
        <w:r>
          <w:rPr>
            <w:noProof/>
            <w:webHidden/>
          </w:rPr>
          <w:fldChar w:fldCharType="end"/>
        </w:r>
      </w:hyperlink>
    </w:p>
    <w:p w14:paraId="4B266FF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39" w:history="1">
        <w:r w:rsidRPr="00C47DA9">
          <w:rPr>
            <w:rStyle w:val="Lienhypertexte"/>
            <w:noProof/>
          </w:rPr>
          <w:t>4.8.6.</w:t>
        </w:r>
        <w:r>
          <w:rPr>
            <w:rFonts w:asciiTheme="minorHAnsi" w:eastAsiaTheme="minorEastAsia" w:hAnsiTheme="minorHAnsi" w:cstheme="minorBidi"/>
            <w:i w:val="0"/>
            <w:iCs w:val="0"/>
            <w:noProof/>
            <w:sz w:val="22"/>
            <w:szCs w:val="22"/>
            <w:lang w:eastAsia="fr-BE"/>
          </w:rPr>
          <w:tab/>
        </w:r>
        <w:r w:rsidRPr="00C47DA9">
          <w:rPr>
            <w:rStyle w:val="Lienhypertexte"/>
            <w:noProof/>
          </w:rPr>
          <w:t>Exemples</w:t>
        </w:r>
        <w:r>
          <w:rPr>
            <w:noProof/>
            <w:webHidden/>
          </w:rPr>
          <w:tab/>
        </w:r>
        <w:r>
          <w:rPr>
            <w:noProof/>
            <w:webHidden/>
          </w:rPr>
          <w:fldChar w:fldCharType="begin"/>
        </w:r>
        <w:r>
          <w:rPr>
            <w:noProof/>
            <w:webHidden/>
          </w:rPr>
          <w:instrText xml:space="preserve"> PAGEREF _Toc482815639 \h </w:instrText>
        </w:r>
        <w:r>
          <w:rPr>
            <w:noProof/>
            <w:webHidden/>
          </w:rPr>
        </w:r>
        <w:r>
          <w:rPr>
            <w:noProof/>
            <w:webHidden/>
          </w:rPr>
          <w:fldChar w:fldCharType="separate"/>
        </w:r>
        <w:r>
          <w:rPr>
            <w:noProof/>
            <w:webHidden/>
          </w:rPr>
          <w:t>65</w:t>
        </w:r>
        <w:r>
          <w:rPr>
            <w:noProof/>
            <w:webHidden/>
          </w:rPr>
          <w:fldChar w:fldCharType="end"/>
        </w:r>
      </w:hyperlink>
    </w:p>
    <w:p w14:paraId="1CA32F7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40" w:history="1">
        <w:r w:rsidRPr="00C47DA9">
          <w:rPr>
            <w:rStyle w:val="Lienhypertexte"/>
            <w:noProof/>
          </w:rPr>
          <w:t>4.9.</w:t>
        </w:r>
        <w:r>
          <w:rPr>
            <w:rFonts w:asciiTheme="minorHAnsi" w:eastAsiaTheme="minorEastAsia" w:hAnsiTheme="minorHAnsi" w:cstheme="minorBidi"/>
            <w:smallCaps w:val="0"/>
            <w:noProof/>
            <w:sz w:val="22"/>
            <w:szCs w:val="22"/>
            <w:lang w:eastAsia="fr-BE"/>
          </w:rPr>
          <w:tab/>
        </w:r>
        <w:r w:rsidRPr="00C47DA9">
          <w:rPr>
            <w:rStyle w:val="Lienhypertexte"/>
            <w:noProof/>
          </w:rPr>
          <w:t>Contrefaçon</w:t>
        </w:r>
        <w:r>
          <w:rPr>
            <w:noProof/>
            <w:webHidden/>
          </w:rPr>
          <w:tab/>
        </w:r>
        <w:r>
          <w:rPr>
            <w:noProof/>
            <w:webHidden/>
          </w:rPr>
          <w:fldChar w:fldCharType="begin"/>
        </w:r>
        <w:r>
          <w:rPr>
            <w:noProof/>
            <w:webHidden/>
          </w:rPr>
          <w:instrText xml:space="preserve"> PAGEREF _Toc482815640 \h </w:instrText>
        </w:r>
        <w:r>
          <w:rPr>
            <w:noProof/>
            <w:webHidden/>
          </w:rPr>
        </w:r>
        <w:r>
          <w:rPr>
            <w:noProof/>
            <w:webHidden/>
          </w:rPr>
          <w:fldChar w:fldCharType="separate"/>
        </w:r>
        <w:r>
          <w:rPr>
            <w:noProof/>
            <w:webHidden/>
          </w:rPr>
          <w:t>66</w:t>
        </w:r>
        <w:r>
          <w:rPr>
            <w:noProof/>
            <w:webHidden/>
          </w:rPr>
          <w:fldChar w:fldCharType="end"/>
        </w:r>
      </w:hyperlink>
    </w:p>
    <w:p w14:paraId="3B612AB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1" w:history="1">
        <w:r w:rsidRPr="00C47DA9">
          <w:rPr>
            <w:rStyle w:val="Lienhypertexte"/>
            <w:noProof/>
          </w:rPr>
          <w:t>4.9.1.</w:t>
        </w:r>
        <w:r>
          <w:rPr>
            <w:rFonts w:asciiTheme="minorHAnsi" w:eastAsiaTheme="minorEastAsia" w:hAnsiTheme="minorHAnsi" w:cstheme="minorBidi"/>
            <w:i w:val="0"/>
            <w:iCs w:val="0"/>
            <w:noProof/>
            <w:sz w:val="22"/>
            <w:szCs w:val="22"/>
            <w:lang w:eastAsia="fr-BE"/>
          </w:rPr>
          <w:tab/>
        </w:r>
        <w:r w:rsidRPr="00C47DA9">
          <w:rPr>
            <w:rStyle w:val="Lienhypertexte"/>
            <w:noProof/>
          </w:rPr>
          <w:t>Introduction</w:t>
        </w:r>
        <w:r>
          <w:rPr>
            <w:noProof/>
            <w:webHidden/>
          </w:rPr>
          <w:tab/>
        </w:r>
        <w:r>
          <w:rPr>
            <w:noProof/>
            <w:webHidden/>
          </w:rPr>
          <w:fldChar w:fldCharType="begin"/>
        </w:r>
        <w:r>
          <w:rPr>
            <w:noProof/>
            <w:webHidden/>
          </w:rPr>
          <w:instrText xml:space="preserve"> PAGEREF _Toc482815641 \h </w:instrText>
        </w:r>
        <w:r>
          <w:rPr>
            <w:noProof/>
            <w:webHidden/>
          </w:rPr>
        </w:r>
        <w:r>
          <w:rPr>
            <w:noProof/>
            <w:webHidden/>
          </w:rPr>
          <w:fldChar w:fldCharType="separate"/>
        </w:r>
        <w:r>
          <w:rPr>
            <w:noProof/>
            <w:webHidden/>
          </w:rPr>
          <w:t>66</w:t>
        </w:r>
        <w:r>
          <w:rPr>
            <w:noProof/>
            <w:webHidden/>
          </w:rPr>
          <w:fldChar w:fldCharType="end"/>
        </w:r>
      </w:hyperlink>
    </w:p>
    <w:p w14:paraId="19B1A98C"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2" w:history="1">
        <w:r w:rsidRPr="00C47DA9">
          <w:rPr>
            <w:rStyle w:val="Lienhypertexte"/>
            <w:noProof/>
          </w:rPr>
          <w:t>4.9.2.</w:t>
        </w:r>
        <w:r>
          <w:rPr>
            <w:rFonts w:asciiTheme="minorHAnsi" w:eastAsiaTheme="minorEastAsia" w:hAnsiTheme="minorHAnsi" w:cstheme="minorBidi"/>
            <w:i w:val="0"/>
            <w:iCs w:val="0"/>
            <w:noProof/>
            <w:sz w:val="22"/>
            <w:szCs w:val="22"/>
            <w:lang w:eastAsia="fr-BE"/>
          </w:rPr>
          <w:tab/>
        </w:r>
        <w:r w:rsidRPr="00C47DA9">
          <w:rPr>
            <w:rStyle w:val="Lienhypertexte"/>
            <w:noProof/>
          </w:rPr>
          <w:t>Sources de droit</w:t>
        </w:r>
        <w:r>
          <w:rPr>
            <w:noProof/>
            <w:webHidden/>
          </w:rPr>
          <w:tab/>
        </w:r>
        <w:r>
          <w:rPr>
            <w:noProof/>
            <w:webHidden/>
          </w:rPr>
          <w:fldChar w:fldCharType="begin"/>
        </w:r>
        <w:r>
          <w:rPr>
            <w:noProof/>
            <w:webHidden/>
          </w:rPr>
          <w:instrText xml:space="preserve"> PAGEREF _Toc482815642 \h </w:instrText>
        </w:r>
        <w:r>
          <w:rPr>
            <w:noProof/>
            <w:webHidden/>
          </w:rPr>
        </w:r>
        <w:r>
          <w:rPr>
            <w:noProof/>
            <w:webHidden/>
          </w:rPr>
          <w:fldChar w:fldCharType="separate"/>
        </w:r>
        <w:r>
          <w:rPr>
            <w:noProof/>
            <w:webHidden/>
          </w:rPr>
          <w:t>67</w:t>
        </w:r>
        <w:r>
          <w:rPr>
            <w:noProof/>
            <w:webHidden/>
          </w:rPr>
          <w:fldChar w:fldCharType="end"/>
        </w:r>
      </w:hyperlink>
    </w:p>
    <w:p w14:paraId="4FC21043"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3" w:history="1">
        <w:r w:rsidRPr="00C47DA9">
          <w:rPr>
            <w:rStyle w:val="Lienhypertexte"/>
            <w:noProof/>
          </w:rPr>
          <w:t>4.9.3.</w:t>
        </w:r>
        <w:r>
          <w:rPr>
            <w:rFonts w:asciiTheme="minorHAnsi" w:eastAsiaTheme="minorEastAsia" w:hAnsiTheme="minorHAnsi" w:cstheme="minorBidi"/>
            <w:i w:val="0"/>
            <w:iCs w:val="0"/>
            <w:noProof/>
            <w:sz w:val="22"/>
            <w:szCs w:val="22"/>
            <w:lang w:eastAsia="fr-BE"/>
          </w:rPr>
          <w:tab/>
        </w:r>
        <w:r w:rsidRPr="00C47DA9">
          <w:rPr>
            <w:rStyle w:val="Lienhypertexte"/>
            <w:noProof/>
          </w:rPr>
          <w:t>Exemples</w:t>
        </w:r>
        <w:r>
          <w:rPr>
            <w:noProof/>
            <w:webHidden/>
          </w:rPr>
          <w:tab/>
        </w:r>
        <w:r>
          <w:rPr>
            <w:noProof/>
            <w:webHidden/>
          </w:rPr>
          <w:fldChar w:fldCharType="begin"/>
        </w:r>
        <w:r>
          <w:rPr>
            <w:noProof/>
            <w:webHidden/>
          </w:rPr>
          <w:instrText xml:space="preserve"> PAGEREF _Toc482815643 \h </w:instrText>
        </w:r>
        <w:r>
          <w:rPr>
            <w:noProof/>
            <w:webHidden/>
          </w:rPr>
        </w:r>
        <w:r>
          <w:rPr>
            <w:noProof/>
            <w:webHidden/>
          </w:rPr>
          <w:fldChar w:fldCharType="separate"/>
        </w:r>
        <w:r>
          <w:rPr>
            <w:noProof/>
            <w:webHidden/>
          </w:rPr>
          <w:t>69</w:t>
        </w:r>
        <w:r>
          <w:rPr>
            <w:noProof/>
            <w:webHidden/>
          </w:rPr>
          <w:fldChar w:fldCharType="end"/>
        </w:r>
      </w:hyperlink>
    </w:p>
    <w:p w14:paraId="62F6C13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4" w:history="1">
        <w:r w:rsidRPr="00C47DA9">
          <w:rPr>
            <w:rStyle w:val="Lienhypertexte"/>
            <w:noProof/>
          </w:rPr>
          <w:t>4.9.4.</w:t>
        </w:r>
        <w:r>
          <w:rPr>
            <w:rFonts w:asciiTheme="minorHAnsi" w:eastAsiaTheme="minorEastAsia" w:hAnsiTheme="minorHAnsi" w:cstheme="minorBidi"/>
            <w:i w:val="0"/>
            <w:iCs w:val="0"/>
            <w:noProof/>
            <w:sz w:val="22"/>
            <w:szCs w:val="22"/>
            <w:lang w:eastAsia="fr-BE"/>
          </w:rPr>
          <w:tab/>
        </w:r>
        <w:r w:rsidRPr="00C47DA9">
          <w:rPr>
            <w:rStyle w:val="Lienhypertexte"/>
            <w:noProof/>
          </w:rPr>
          <w:t>Conclusion</w:t>
        </w:r>
        <w:r>
          <w:rPr>
            <w:noProof/>
            <w:webHidden/>
          </w:rPr>
          <w:tab/>
        </w:r>
        <w:r>
          <w:rPr>
            <w:noProof/>
            <w:webHidden/>
          </w:rPr>
          <w:fldChar w:fldCharType="begin"/>
        </w:r>
        <w:r>
          <w:rPr>
            <w:noProof/>
            <w:webHidden/>
          </w:rPr>
          <w:instrText xml:space="preserve"> PAGEREF _Toc482815644 \h </w:instrText>
        </w:r>
        <w:r>
          <w:rPr>
            <w:noProof/>
            <w:webHidden/>
          </w:rPr>
        </w:r>
        <w:r>
          <w:rPr>
            <w:noProof/>
            <w:webHidden/>
          </w:rPr>
          <w:fldChar w:fldCharType="separate"/>
        </w:r>
        <w:r>
          <w:rPr>
            <w:noProof/>
            <w:webHidden/>
          </w:rPr>
          <w:t>69</w:t>
        </w:r>
        <w:r>
          <w:rPr>
            <w:noProof/>
            <w:webHidden/>
          </w:rPr>
          <w:fldChar w:fldCharType="end"/>
        </w:r>
      </w:hyperlink>
    </w:p>
    <w:p w14:paraId="2F5F43E2"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645" w:history="1">
        <w:r w:rsidRPr="00C47DA9">
          <w:rPr>
            <w:rStyle w:val="Lienhypertexte"/>
            <w:noProof/>
          </w:rPr>
          <w:t>5.</w:t>
        </w:r>
        <w:r>
          <w:rPr>
            <w:rFonts w:asciiTheme="minorHAnsi" w:eastAsiaTheme="minorEastAsia" w:hAnsiTheme="minorHAnsi" w:cstheme="minorBidi"/>
            <w:b w:val="0"/>
            <w:bCs w:val="0"/>
            <w:caps w:val="0"/>
            <w:noProof/>
            <w:sz w:val="22"/>
            <w:szCs w:val="22"/>
            <w:lang w:eastAsia="fr-BE"/>
          </w:rPr>
          <w:tab/>
        </w:r>
        <w:r w:rsidRPr="00C47DA9">
          <w:rPr>
            <w:rStyle w:val="Lienhypertexte"/>
            <w:noProof/>
          </w:rPr>
          <w:t>Sûretés spécifiques en matière commerciale</w:t>
        </w:r>
        <w:r>
          <w:rPr>
            <w:noProof/>
            <w:webHidden/>
          </w:rPr>
          <w:tab/>
        </w:r>
        <w:r>
          <w:rPr>
            <w:noProof/>
            <w:webHidden/>
          </w:rPr>
          <w:fldChar w:fldCharType="begin"/>
        </w:r>
        <w:r>
          <w:rPr>
            <w:noProof/>
            <w:webHidden/>
          </w:rPr>
          <w:instrText xml:space="preserve"> PAGEREF _Toc482815645 \h </w:instrText>
        </w:r>
        <w:r>
          <w:rPr>
            <w:noProof/>
            <w:webHidden/>
          </w:rPr>
        </w:r>
        <w:r>
          <w:rPr>
            <w:noProof/>
            <w:webHidden/>
          </w:rPr>
          <w:fldChar w:fldCharType="separate"/>
        </w:r>
        <w:r>
          <w:rPr>
            <w:noProof/>
            <w:webHidden/>
          </w:rPr>
          <w:t>71</w:t>
        </w:r>
        <w:r>
          <w:rPr>
            <w:noProof/>
            <w:webHidden/>
          </w:rPr>
          <w:fldChar w:fldCharType="end"/>
        </w:r>
      </w:hyperlink>
    </w:p>
    <w:p w14:paraId="74BBF3F7"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646" w:history="1">
        <w:r w:rsidRPr="00C47DA9">
          <w:rPr>
            <w:rStyle w:val="Lienhypertexte"/>
            <w:noProof/>
          </w:rPr>
          <w:t>6.</w:t>
        </w:r>
        <w:r>
          <w:rPr>
            <w:rFonts w:asciiTheme="minorHAnsi" w:eastAsiaTheme="minorEastAsia" w:hAnsiTheme="minorHAnsi" w:cstheme="minorBidi"/>
            <w:b w:val="0"/>
            <w:bCs w:val="0"/>
            <w:caps w:val="0"/>
            <w:noProof/>
            <w:sz w:val="22"/>
            <w:szCs w:val="22"/>
            <w:lang w:eastAsia="fr-BE"/>
          </w:rPr>
          <w:tab/>
        </w:r>
        <w:r w:rsidRPr="00C47DA9">
          <w:rPr>
            <w:rStyle w:val="Lienhypertexte"/>
            <w:noProof/>
          </w:rPr>
          <w:t>Contrats commerciaux types</w:t>
        </w:r>
        <w:r>
          <w:rPr>
            <w:noProof/>
            <w:webHidden/>
          </w:rPr>
          <w:tab/>
        </w:r>
        <w:r>
          <w:rPr>
            <w:noProof/>
            <w:webHidden/>
          </w:rPr>
          <w:fldChar w:fldCharType="begin"/>
        </w:r>
        <w:r>
          <w:rPr>
            <w:noProof/>
            <w:webHidden/>
          </w:rPr>
          <w:instrText xml:space="preserve"> PAGEREF _Toc482815646 \h </w:instrText>
        </w:r>
        <w:r>
          <w:rPr>
            <w:noProof/>
            <w:webHidden/>
          </w:rPr>
        </w:r>
        <w:r>
          <w:rPr>
            <w:noProof/>
            <w:webHidden/>
          </w:rPr>
          <w:fldChar w:fldCharType="separate"/>
        </w:r>
        <w:r>
          <w:rPr>
            <w:noProof/>
            <w:webHidden/>
          </w:rPr>
          <w:t>72</w:t>
        </w:r>
        <w:r>
          <w:rPr>
            <w:noProof/>
            <w:webHidden/>
          </w:rPr>
          <w:fldChar w:fldCharType="end"/>
        </w:r>
      </w:hyperlink>
    </w:p>
    <w:p w14:paraId="698B33C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47" w:history="1">
        <w:r w:rsidRPr="00C47DA9">
          <w:rPr>
            <w:rStyle w:val="Lienhypertexte"/>
            <w:noProof/>
          </w:rPr>
          <w:t>6.1.</w:t>
        </w:r>
        <w:r>
          <w:rPr>
            <w:rFonts w:asciiTheme="minorHAnsi" w:eastAsiaTheme="minorEastAsia" w:hAnsiTheme="minorHAnsi" w:cstheme="minorBidi"/>
            <w:smallCaps w:val="0"/>
            <w:noProof/>
            <w:sz w:val="22"/>
            <w:szCs w:val="22"/>
            <w:lang w:eastAsia="fr-BE"/>
          </w:rPr>
          <w:tab/>
        </w:r>
        <w:r w:rsidRPr="00C47DA9">
          <w:rPr>
            <w:rStyle w:val="Lienhypertexte"/>
            <w:noProof/>
          </w:rPr>
          <w:t>Contrat d'achat/vente</w:t>
        </w:r>
        <w:r>
          <w:rPr>
            <w:noProof/>
            <w:webHidden/>
          </w:rPr>
          <w:tab/>
        </w:r>
        <w:r>
          <w:rPr>
            <w:noProof/>
            <w:webHidden/>
          </w:rPr>
          <w:fldChar w:fldCharType="begin"/>
        </w:r>
        <w:r>
          <w:rPr>
            <w:noProof/>
            <w:webHidden/>
          </w:rPr>
          <w:instrText xml:space="preserve"> PAGEREF _Toc482815647 \h </w:instrText>
        </w:r>
        <w:r>
          <w:rPr>
            <w:noProof/>
            <w:webHidden/>
          </w:rPr>
        </w:r>
        <w:r>
          <w:rPr>
            <w:noProof/>
            <w:webHidden/>
          </w:rPr>
          <w:fldChar w:fldCharType="separate"/>
        </w:r>
        <w:r>
          <w:rPr>
            <w:noProof/>
            <w:webHidden/>
          </w:rPr>
          <w:t>73</w:t>
        </w:r>
        <w:r>
          <w:rPr>
            <w:noProof/>
            <w:webHidden/>
          </w:rPr>
          <w:fldChar w:fldCharType="end"/>
        </w:r>
      </w:hyperlink>
    </w:p>
    <w:p w14:paraId="1C4E4C76"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8" w:history="1">
        <w:r w:rsidRPr="00C47DA9">
          <w:rPr>
            <w:rStyle w:val="Lienhypertexte"/>
            <w:noProof/>
          </w:rPr>
          <w:t>6.1.1.</w:t>
        </w:r>
        <w:r>
          <w:rPr>
            <w:rFonts w:asciiTheme="minorHAnsi" w:eastAsiaTheme="minorEastAsia" w:hAnsiTheme="minorHAnsi" w:cstheme="minorBidi"/>
            <w:i w:val="0"/>
            <w:iCs w:val="0"/>
            <w:noProof/>
            <w:sz w:val="22"/>
            <w:szCs w:val="22"/>
            <w:lang w:eastAsia="fr-BE"/>
          </w:rPr>
          <w:tab/>
        </w:r>
        <w:r w:rsidRPr="00C47DA9">
          <w:rPr>
            <w:rStyle w:val="Lienhypertexte"/>
            <w:noProof/>
          </w:rPr>
          <w:t>Classement selon la modalité de paiement</w:t>
        </w:r>
        <w:r>
          <w:rPr>
            <w:noProof/>
            <w:webHidden/>
          </w:rPr>
          <w:tab/>
        </w:r>
        <w:r>
          <w:rPr>
            <w:noProof/>
            <w:webHidden/>
          </w:rPr>
          <w:fldChar w:fldCharType="begin"/>
        </w:r>
        <w:r>
          <w:rPr>
            <w:noProof/>
            <w:webHidden/>
          </w:rPr>
          <w:instrText xml:space="preserve"> PAGEREF _Toc482815648 \h </w:instrText>
        </w:r>
        <w:r>
          <w:rPr>
            <w:noProof/>
            <w:webHidden/>
          </w:rPr>
        </w:r>
        <w:r>
          <w:rPr>
            <w:noProof/>
            <w:webHidden/>
          </w:rPr>
          <w:fldChar w:fldCharType="separate"/>
        </w:r>
        <w:r>
          <w:rPr>
            <w:noProof/>
            <w:webHidden/>
          </w:rPr>
          <w:t>73</w:t>
        </w:r>
        <w:r>
          <w:rPr>
            <w:noProof/>
            <w:webHidden/>
          </w:rPr>
          <w:fldChar w:fldCharType="end"/>
        </w:r>
      </w:hyperlink>
    </w:p>
    <w:p w14:paraId="02D8055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49" w:history="1">
        <w:r w:rsidRPr="00C47DA9">
          <w:rPr>
            <w:rStyle w:val="Lienhypertexte"/>
            <w:noProof/>
          </w:rPr>
          <w:t>6.1.2.</w:t>
        </w:r>
        <w:r>
          <w:rPr>
            <w:rFonts w:asciiTheme="minorHAnsi" w:eastAsiaTheme="minorEastAsia" w:hAnsiTheme="minorHAnsi" w:cstheme="minorBidi"/>
            <w:i w:val="0"/>
            <w:iCs w:val="0"/>
            <w:noProof/>
            <w:sz w:val="22"/>
            <w:szCs w:val="22"/>
            <w:lang w:eastAsia="fr-BE"/>
          </w:rPr>
          <w:tab/>
        </w:r>
        <w:r w:rsidRPr="00C47DA9">
          <w:rPr>
            <w:rStyle w:val="Lienhypertexte"/>
            <w:noProof/>
          </w:rPr>
          <w:t>Modes de paiement</w:t>
        </w:r>
        <w:r>
          <w:rPr>
            <w:noProof/>
            <w:webHidden/>
          </w:rPr>
          <w:tab/>
        </w:r>
        <w:r>
          <w:rPr>
            <w:noProof/>
            <w:webHidden/>
          </w:rPr>
          <w:fldChar w:fldCharType="begin"/>
        </w:r>
        <w:r>
          <w:rPr>
            <w:noProof/>
            <w:webHidden/>
          </w:rPr>
          <w:instrText xml:space="preserve"> PAGEREF _Toc482815649 \h </w:instrText>
        </w:r>
        <w:r>
          <w:rPr>
            <w:noProof/>
            <w:webHidden/>
          </w:rPr>
        </w:r>
        <w:r>
          <w:rPr>
            <w:noProof/>
            <w:webHidden/>
          </w:rPr>
          <w:fldChar w:fldCharType="separate"/>
        </w:r>
        <w:r>
          <w:rPr>
            <w:noProof/>
            <w:webHidden/>
          </w:rPr>
          <w:t>73</w:t>
        </w:r>
        <w:r>
          <w:rPr>
            <w:noProof/>
            <w:webHidden/>
          </w:rPr>
          <w:fldChar w:fldCharType="end"/>
        </w:r>
      </w:hyperlink>
    </w:p>
    <w:p w14:paraId="34509B9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0" w:history="1">
        <w:r w:rsidRPr="00C47DA9">
          <w:rPr>
            <w:rStyle w:val="Lienhypertexte"/>
            <w:noProof/>
          </w:rPr>
          <w:t>6.1.3.</w:t>
        </w:r>
        <w:r>
          <w:rPr>
            <w:rFonts w:asciiTheme="minorHAnsi" w:eastAsiaTheme="minorEastAsia" w:hAnsiTheme="minorHAnsi" w:cstheme="minorBidi"/>
            <w:i w:val="0"/>
            <w:iCs w:val="0"/>
            <w:noProof/>
            <w:sz w:val="22"/>
            <w:szCs w:val="22"/>
            <w:lang w:eastAsia="fr-BE"/>
          </w:rPr>
          <w:tab/>
        </w:r>
        <w:r w:rsidRPr="00C47DA9">
          <w:rPr>
            <w:rStyle w:val="Lienhypertexte"/>
            <w:noProof/>
          </w:rPr>
          <w:t>Mentions obligatoires de tout document commercial</w:t>
        </w:r>
        <w:r>
          <w:rPr>
            <w:noProof/>
            <w:webHidden/>
          </w:rPr>
          <w:tab/>
        </w:r>
        <w:r>
          <w:rPr>
            <w:noProof/>
            <w:webHidden/>
          </w:rPr>
          <w:fldChar w:fldCharType="begin"/>
        </w:r>
        <w:r>
          <w:rPr>
            <w:noProof/>
            <w:webHidden/>
          </w:rPr>
          <w:instrText xml:space="preserve"> PAGEREF _Toc482815650 \h </w:instrText>
        </w:r>
        <w:r>
          <w:rPr>
            <w:noProof/>
            <w:webHidden/>
          </w:rPr>
        </w:r>
        <w:r>
          <w:rPr>
            <w:noProof/>
            <w:webHidden/>
          </w:rPr>
          <w:fldChar w:fldCharType="separate"/>
        </w:r>
        <w:r>
          <w:rPr>
            <w:noProof/>
            <w:webHidden/>
          </w:rPr>
          <w:t>73</w:t>
        </w:r>
        <w:r>
          <w:rPr>
            <w:noProof/>
            <w:webHidden/>
          </w:rPr>
          <w:fldChar w:fldCharType="end"/>
        </w:r>
      </w:hyperlink>
    </w:p>
    <w:p w14:paraId="136EAFC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1" w:history="1">
        <w:r w:rsidRPr="00C47DA9">
          <w:rPr>
            <w:rStyle w:val="Lienhypertexte"/>
            <w:noProof/>
          </w:rPr>
          <w:t>6.1.4.</w:t>
        </w:r>
        <w:r>
          <w:rPr>
            <w:rFonts w:asciiTheme="minorHAnsi" w:eastAsiaTheme="minorEastAsia" w:hAnsiTheme="minorHAnsi" w:cstheme="minorBidi"/>
            <w:i w:val="0"/>
            <w:iCs w:val="0"/>
            <w:noProof/>
            <w:sz w:val="22"/>
            <w:szCs w:val="22"/>
            <w:lang w:eastAsia="fr-BE"/>
          </w:rPr>
          <w:tab/>
        </w:r>
        <w:r w:rsidRPr="00C47DA9">
          <w:rPr>
            <w:rStyle w:val="Lienhypertexte"/>
            <w:noProof/>
          </w:rPr>
          <w:t>Facture – mentions spécifiques</w:t>
        </w:r>
        <w:r>
          <w:rPr>
            <w:noProof/>
            <w:webHidden/>
          </w:rPr>
          <w:tab/>
        </w:r>
        <w:r>
          <w:rPr>
            <w:noProof/>
            <w:webHidden/>
          </w:rPr>
          <w:fldChar w:fldCharType="begin"/>
        </w:r>
        <w:r>
          <w:rPr>
            <w:noProof/>
            <w:webHidden/>
          </w:rPr>
          <w:instrText xml:space="preserve"> PAGEREF _Toc482815651 \h </w:instrText>
        </w:r>
        <w:r>
          <w:rPr>
            <w:noProof/>
            <w:webHidden/>
          </w:rPr>
        </w:r>
        <w:r>
          <w:rPr>
            <w:noProof/>
            <w:webHidden/>
          </w:rPr>
          <w:fldChar w:fldCharType="separate"/>
        </w:r>
        <w:r>
          <w:rPr>
            <w:noProof/>
            <w:webHidden/>
          </w:rPr>
          <w:t>73</w:t>
        </w:r>
        <w:r>
          <w:rPr>
            <w:noProof/>
            <w:webHidden/>
          </w:rPr>
          <w:fldChar w:fldCharType="end"/>
        </w:r>
      </w:hyperlink>
    </w:p>
    <w:p w14:paraId="185B2D2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2" w:history="1">
        <w:r w:rsidRPr="00C47DA9">
          <w:rPr>
            <w:rStyle w:val="Lienhypertexte"/>
            <w:noProof/>
          </w:rPr>
          <w:t>6.1.5.</w:t>
        </w:r>
        <w:r>
          <w:rPr>
            <w:rFonts w:asciiTheme="minorHAnsi" w:eastAsiaTheme="minorEastAsia" w:hAnsiTheme="minorHAnsi" w:cstheme="minorBidi"/>
            <w:i w:val="0"/>
            <w:iCs w:val="0"/>
            <w:noProof/>
            <w:sz w:val="22"/>
            <w:szCs w:val="22"/>
            <w:lang w:eastAsia="fr-BE"/>
          </w:rPr>
          <w:tab/>
        </w:r>
        <w:r w:rsidRPr="00C47DA9">
          <w:rPr>
            <w:rStyle w:val="Lienhypertexte"/>
            <w:noProof/>
          </w:rPr>
          <w:t>Types de réductions sur le prix</w:t>
        </w:r>
        <w:r>
          <w:rPr>
            <w:noProof/>
            <w:webHidden/>
          </w:rPr>
          <w:tab/>
        </w:r>
        <w:r>
          <w:rPr>
            <w:noProof/>
            <w:webHidden/>
          </w:rPr>
          <w:fldChar w:fldCharType="begin"/>
        </w:r>
        <w:r>
          <w:rPr>
            <w:noProof/>
            <w:webHidden/>
          </w:rPr>
          <w:instrText xml:space="preserve"> PAGEREF _Toc482815652 \h </w:instrText>
        </w:r>
        <w:r>
          <w:rPr>
            <w:noProof/>
            <w:webHidden/>
          </w:rPr>
        </w:r>
        <w:r>
          <w:rPr>
            <w:noProof/>
            <w:webHidden/>
          </w:rPr>
          <w:fldChar w:fldCharType="separate"/>
        </w:r>
        <w:r>
          <w:rPr>
            <w:noProof/>
            <w:webHidden/>
          </w:rPr>
          <w:t>73</w:t>
        </w:r>
        <w:r>
          <w:rPr>
            <w:noProof/>
            <w:webHidden/>
          </w:rPr>
          <w:fldChar w:fldCharType="end"/>
        </w:r>
      </w:hyperlink>
    </w:p>
    <w:p w14:paraId="7CE1122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3" w:history="1">
        <w:r w:rsidRPr="00C47DA9">
          <w:rPr>
            <w:rStyle w:val="Lienhypertexte"/>
            <w:noProof/>
          </w:rPr>
          <w:t>6.1.6.</w:t>
        </w:r>
        <w:r>
          <w:rPr>
            <w:rFonts w:asciiTheme="minorHAnsi" w:eastAsiaTheme="minorEastAsia" w:hAnsiTheme="minorHAnsi" w:cstheme="minorBidi"/>
            <w:i w:val="0"/>
            <w:iCs w:val="0"/>
            <w:noProof/>
            <w:sz w:val="22"/>
            <w:szCs w:val="22"/>
            <w:lang w:eastAsia="fr-BE"/>
          </w:rPr>
          <w:tab/>
        </w:r>
        <w:r w:rsidRPr="00C47DA9">
          <w:rPr>
            <w:rStyle w:val="Lienhypertexte"/>
            <w:noProof/>
          </w:rPr>
          <w:t>Formes</w:t>
        </w:r>
        <w:r>
          <w:rPr>
            <w:noProof/>
            <w:webHidden/>
          </w:rPr>
          <w:tab/>
        </w:r>
        <w:r>
          <w:rPr>
            <w:noProof/>
            <w:webHidden/>
          </w:rPr>
          <w:fldChar w:fldCharType="begin"/>
        </w:r>
        <w:r>
          <w:rPr>
            <w:noProof/>
            <w:webHidden/>
          </w:rPr>
          <w:instrText xml:space="preserve"> PAGEREF _Toc482815653 \h </w:instrText>
        </w:r>
        <w:r>
          <w:rPr>
            <w:noProof/>
            <w:webHidden/>
          </w:rPr>
        </w:r>
        <w:r>
          <w:rPr>
            <w:noProof/>
            <w:webHidden/>
          </w:rPr>
          <w:fldChar w:fldCharType="separate"/>
        </w:r>
        <w:r>
          <w:rPr>
            <w:noProof/>
            <w:webHidden/>
          </w:rPr>
          <w:t>74</w:t>
        </w:r>
        <w:r>
          <w:rPr>
            <w:noProof/>
            <w:webHidden/>
          </w:rPr>
          <w:fldChar w:fldCharType="end"/>
        </w:r>
      </w:hyperlink>
    </w:p>
    <w:p w14:paraId="6182573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4" w:history="1">
        <w:r w:rsidRPr="00C47DA9">
          <w:rPr>
            <w:rStyle w:val="Lienhypertexte"/>
            <w:noProof/>
          </w:rPr>
          <w:t>6.1.7.</w:t>
        </w:r>
        <w:r>
          <w:rPr>
            <w:rFonts w:asciiTheme="minorHAnsi" w:eastAsiaTheme="minorEastAsia" w:hAnsiTheme="minorHAnsi" w:cstheme="minorBidi"/>
            <w:i w:val="0"/>
            <w:iCs w:val="0"/>
            <w:noProof/>
            <w:sz w:val="22"/>
            <w:szCs w:val="22"/>
            <w:lang w:eastAsia="fr-BE"/>
          </w:rPr>
          <w:tab/>
        </w:r>
        <w:r w:rsidRPr="00C47DA9">
          <w:rPr>
            <w:rStyle w:val="Lienhypertexte"/>
            <w:noProof/>
          </w:rPr>
          <w:t>Cas particuliers</w:t>
        </w:r>
        <w:r>
          <w:rPr>
            <w:noProof/>
            <w:webHidden/>
          </w:rPr>
          <w:tab/>
        </w:r>
        <w:r>
          <w:rPr>
            <w:noProof/>
            <w:webHidden/>
          </w:rPr>
          <w:fldChar w:fldCharType="begin"/>
        </w:r>
        <w:r>
          <w:rPr>
            <w:noProof/>
            <w:webHidden/>
          </w:rPr>
          <w:instrText xml:space="preserve"> PAGEREF _Toc482815654 \h </w:instrText>
        </w:r>
        <w:r>
          <w:rPr>
            <w:noProof/>
            <w:webHidden/>
          </w:rPr>
        </w:r>
        <w:r>
          <w:rPr>
            <w:noProof/>
            <w:webHidden/>
          </w:rPr>
          <w:fldChar w:fldCharType="separate"/>
        </w:r>
        <w:r>
          <w:rPr>
            <w:noProof/>
            <w:webHidden/>
          </w:rPr>
          <w:t>74</w:t>
        </w:r>
        <w:r>
          <w:rPr>
            <w:noProof/>
            <w:webHidden/>
          </w:rPr>
          <w:fldChar w:fldCharType="end"/>
        </w:r>
      </w:hyperlink>
    </w:p>
    <w:p w14:paraId="60585B7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5" w:history="1">
        <w:r w:rsidRPr="00C47DA9">
          <w:rPr>
            <w:rStyle w:val="Lienhypertexte"/>
            <w:noProof/>
          </w:rPr>
          <w:t>6.1.8.</w:t>
        </w:r>
        <w:r>
          <w:rPr>
            <w:rFonts w:asciiTheme="minorHAnsi" w:eastAsiaTheme="minorEastAsia" w:hAnsiTheme="minorHAnsi" w:cstheme="minorBidi"/>
            <w:i w:val="0"/>
            <w:iCs w:val="0"/>
            <w:noProof/>
            <w:sz w:val="22"/>
            <w:szCs w:val="22"/>
            <w:lang w:eastAsia="fr-BE"/>
          </w:rPr>
          <w:tab/>
        </w:r>
        <w:r w:rsidRPr="00C47DA9">
          <w:rPr>
            <w:rStyle w:val="Lienhypertexte"/>
            <w:noProof/>
          </w:rPr>
          <w:t>Incoterms</w:t>
        </w:r>
        <w:r>
          <w:rPr>
            <w:noProof/>
            <w:webHidden/>
          </w:rPr>
          <w:tab/>
        </w:r>
        <w:r>
          <w:rPr>
            <w:noProof/>
            <w:webHidden/>
          </w:rPr>
          <w:fldChar w:fldCharType="begin"/>
        </w:r>
        <w:r>
          <w:rPr>
            <w:noProof/>
            <w:webHidden/>
          </w:rPr>
          <w:instrText xml:space="preserve"> PAGEREF _Toc482815655 \h </w:instrText>
        </w:r>
        <w:r>
          <w:rPr>
            <w:noProof/>
            <w:webHidden/>
          </w:rPr>
        </w:r>
        <w:r>
          <w:rPr>
            <w:noProof/>
            <w:webHidden/>
          </w:rPr>
          <w:fldChar w:fldCharType="separate"/>
        </w:r>
        <w:r>
          <w:rPr>
            <w:noProof/>
            <w:webHidden/>
          </w:rPr>
          <w:t>74</w:t>
        </w:r>
        <w:r>
          <w:rPr>
            <w:noProof/>
            <w:webHidden/>
          </w:rPr>
          <w:fldChar w:fldCharType="end"/>
        </w:r>
      </w:hyperlink>
    </w:p>
    <w:p w14:paraId="38B94AC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6" w:history="1">
        <w:r w:rsidRPr="00C47DA9">
          <w:rPr>
            <w:rStyle w:val="Lienhypertexte"/>
            <w:noProof/>
          </w:rPr>
          <w:t>6.1.9.</w:t>
        </w:r>
        <w:r>
          <w:rPr>
            <w:rFonts w:asciiTheme="minorHAnsi" w:eastAsiaTheme="minorEastAsia" w:hAnsiTheme="minorHAnsi" w:cstheme="minorBidi"/>
            <w:i w:val="0"/>
            <w:iCs w:val="0"/>
            <w:noProof/>
            <w:sz w:val="22"/>
            <w:szCs w:val="22"/>
            <w:lang w:eastAsia="fr-BE"/>
          </w:rPr>
          <w:tab/>
        </w:r>
        <w:r w:rsidRPr="00C47DA9">
          <w:rPr>
            <w:rStyle w:val="Lienhypertexte"/>
            <w:noProof/>
          </w:rPr>
          <w:t>Obligations du vendeur et de l’acheteur</w:t>
        </w:r>
        <w:r>
          <w:rPr>
            <w:noProof/>
            <w:webHidden/>
          </w:rPr>
          <w:tab/>
        </w:r>
        <w:r>
          <w:rPr>
            <w:noProof/>
            <w:webHidden/>
          </w:rPr>
          <w:fldChar w:fldCharType="begin"/>
        </w:r>
        <w:r>
          <w:rPr>
            <w:noProof/>
            <w:webHidden/>
          </w:rPr>
          <w:instrText xml:space="preserve"> PAGEREF _Toc482815656 \h </w:instrText>
        </w:r>
        <w:r>
          <w:rPr>
            <w:noProof/>
            <w:webHidden/>
          </w:rPr>
        </w:r>
        <w:r>
          <w:rPr>
            <w:noProof/>
            <w:webHidden/>
          </w:rPr>
          <w:fldChar w:fldCharType="separate"/>
        </w:r>
        <w:r>
          <w:rPr>
            <w:noProof/>
            <w:webHidden/>
          </w:rPr>
          <w:t>76</w:t>
        </w:r>
        <w:r>
          <w:rPr>
            <w:noProof/>
            <w:webHidden/>
          </w:rPr>
          <w:fldChar w:fldCharType="end"/>
        </w:r>
      </w:hyperlink>
    </w:p>
    <w:p w14:paraId="3775B13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57" w:history="1">
        <w:r w:rsidRPr="00C47DA9">
          <w:rPr>
            <w:rStyle w:val="Lienhypertexte"/>
            <w:noProof/>
          </w:rPr>
          <w:t>6.1.10.</w:t>
        </w:r>
        <w:r>
          <w:rPr>
            <w:rFonts w:asciiTheme="minorHAnsi" w:eastAsiaTheme="minorEastAsia" w:hAnsiTheme="minorHAnsi" w:cstheme="minorBidi"/>
            <w:i w:val="0"/>
            <w:iCs w:val="0"/>
            <w:noProof/>
            <w:sz w:val="22"/>
            <w:szCs w:val="22"/>
            <w:lang w:eastAsia="fr-BE"/>
          </w:rPr>
          <w:tab/>
        </w:r>
        <w:r w:rsidRPr="00C47DA9">
          <w:rPr>
            <w:rStyle w:val="Lienhypertexte"/>
            <w:noProof/>
          </w:rPr>
          <w:t>Types de diminutions sur le prix – Cas particuliers</w:t>
        </w:r>
        <w:r>
          <w:rPr>
            <w:noProof/>
            <w:webHidden/>
          </w:rPr>
          <w:tab/>
        </w:r>
        <w:r>
          <w:rPr>
            <w:noProof/>
            <w:webHidden/>
          </w:rPr>
          <w:fldChar w:fldCharType="begin"/>
        </w:r>
        <w:r>
          <w:rPr>
            <w:noProof/>
            <w:webHidden/>
          </w:rPr>
          <w:instrText xml:space="preserve"> PAGEREF _Toc482815657 \h </w:instrText>
        </w:r>
        <w:r>
          <w:rPr>
            <w:noProof/>
            <w:webHidden/>
          </w:rPr>
        </w:r>
        <w:r>
          <w:rPr>
            <w:noProof/>
            <w:webHidden/>
          </w:rPr>
          <w:fldChar w:fldCharType="separate"/>
        </w:r>
        <w:r>
          <w:rPr>
            <w:noProof/>
            <w:webHidden/>
          </w:rPr>
          <w:t>77</w:t>
        </w:r>
        <w:r>
          <w:rPr>
            <w:noProof/>
            <w:webHidden/>
          </w:rPr>
          <w:fldChar w:fldCharType="end"/>
        </w:r>
      </w:hyperlink>
    </w:p>
    <w:p w14:paraId="391D7D4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58" w:history="1">
        <w:r w:rsidRPr="00C47DA9">
          <w:rPr>
            <w:rStyle w:val="Lienhypertexte"/>
            <w:noProof/>
          </w:rPr>
          <w:t>6.2.</w:t>
        </w:r>
        <w:r>
          <w:rPr>
            <w:rFonts w:asciiTheme="minorHAnsi" w:eastAsiaTheme="minorEastAsia" w:hAnsiTheme="minorHAnsi" w:cstheme="minorBidi"/>
            <w:smallCaps w:val="0"/>
            <w:noProof/>
            <w:sz w:val="22"/>
            <w:szCs w:val="22"/>
            <w:lang w:eastAsia="fr-BE"/>
          </w:rPr>
          <w:tab/>
        </w:r>
        <w:r w:rsidRPr="00C47DA9">
          <w:rPr>
            <w:rStyle w:val="Lienhypertexte"/>
            <w:noProof/>
          </w:rPr>
          <w:t>Contrats de transport</w:t>
        </w:r>
        <w:r>
          <w:rPr>
            <w:noProof/>
            <w:webHidden/>
          </w:rPr>
          <w:tab/>
        </w:r>
        <w:r>
          <w:rPr>
            <w:noProof/>
            <w:webHidden/>
          </w:rPr>
          <w:fldChar w:fldCharType="begin"/>
        </w:r>
        <w:r>
          <w:rPr>
            <w:noProof/>
            <w:webHidden/>
          </w:rPr>
          <w:instrText xml:space="preserve"> PAGEREF _Toc482815658 \h </w:instrText>
        </w:r>
        <w:r>
          <w:rPr>
            <w:noProof/>
            <w:webHidden/>
          </w:rPr>
        </w:r>
        <w:r>
          <w:rPr>
            <w:noProof/>
            <w:webHidden/>
          </w:rPr>
          <w:fldChar w:fldCharType="separate"/>
        </w:r>
        <w:r>
          <w:rPr>
            <w:noProof/>
            <w:webHidden/>
          </w:rPr>
          <w:t>77</w:t>
        </w:r>
        <w:r>
          <w:rPr>
            <w:noProof/>
            <w:webHidden/>
          </w:rPr>
          <w:fldChar w:fldCharType="end"/>
        </w:r>
      </w:hyperlink>
    </w:p>
    <w:p w14:paraId="3B5BD9E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59" w:history="1">
        <w:r w:rsidRPr="00C47DA9">
          <w:rPr>
            <w:rStyle w:val="Lienhypertexte"/>
            <w:noProof/>
          </w:rPr>
          <w:t>6.3.</w:t>
        </w:r>
        <w:r>
          <w:rPr>
            <w:rFonts w:asciiTheme="minorHAnsi" w:eastAsiaTheme="minorEastAsia" w:hAnsiTheme="minorHAnsi" w:cstheme="minorBidi"/>
            <w:smallCaps w:val="0"/>
            <w:noProof/>
            <w:sz w:val="22"/>
            <w:szCs w:val="22"/>
            <w:lang w:eastAsia="fr-BE"/>
          </w:rPr>
          <w:tab/>
        </w:r>
        <w:r w:rsidRPr="00C47DA9">
          <w:rPr>
            <w:rStyle w:val="Lienhypertexte"/>
            <w:noProof/>
          </w:rPr>
          <w:t>Contrats d'assurance</w:t>
        </w:r>
        <w:r>
          <w:rPr>
            <w:noProof/>
            <w:webHidden/>
          </w:rPr>
          <w:tab/>
        </w:r>
        <w:r>
          <w:rPr>
            <w:noProof/>
            <w:webHidden/>
          </w:rPr>
          <w:fldChar w:fldCharType="begin"/>
        </w:r>
        <w:r>
          <w:rPr>
            <w:noProof/>
            <w:webHidden/>
          </w:rPr>
          <w:instrText xml:space="preserve"> PAGEREF _Toc482815659 \h </w:instrText>
        </w:r>
        <w:r>
          <w:rPr>
            <w:noProof/>
            <w:webHidden/>
          </w:rPr>
        </w:r>
        <w:r>
          <w:rPr>
            <w:noProof/>
            <w:webHidden/>
          </w:rPr>
          <w:fldChar w:fldCharType="separate"/>
        </w:r>
        <w:r>
          <w:rPr>
            <w:noProof/>
            <w:webHidden/>
          </w:rPr>
          <w:t>77</w:t>
        </w:r>
        <w:r>
          <w:rPr>
            <w:noProof/>
            <w:webHidden/>
          </w:rPr>
          <w:fldChar w:fldCharType="end"/>
        </w:r>
      </w:hyperlink>
    </w:p>
    <w:p w14:paraId="4DC2FC8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0" w:history="1">
        <w:r w:rsidRPr="00C47DA9">
          <w:rPr>
            <w:rStyle w:val="Lienhypertexte"/>
            <w:noProof/>
          </w:rPr>
          <w:t>6.3.1.</w:t>
        </w:r>
        <w:r>
          <w:rPr>
            <w:rFonts w:asciiTheme="minorHAnsi" w:eastAsiaTheme="minorEastAsia" w:hAnsiTheme="minorHAnsi" w:cstheme="minorBidi"/>
            <w:i w:val="0"/>
            <w:iCs w:val="0"/>
            <w:noProof/>
            <w:sz w:val="22"/>
            <w:szCs w:val="22"/>
            <w:lang w:eastAsia="fr-BE"/>
          </w:rPr>
          <w:tab/>
        </w:r>
        <w:r w:rsidRPr="00C47DA9">
          <w:rPr>
            <w:rStyle w:val="Lienhypertexte"/>
            <w:noProof/>
          </w:rPr>
          <w:t>Classification</w:t>
        </w:r>
        <w:r>
          <w:rPr>
            <w:noProof/>
            <w:webHidden/>
          </w:rPr>
          <w:tab/>
        </w:r>
        <w:r>
          <w:rPr>
            <w:noProof/>
            <w:webHidden/>
          </w:rPr>
          <w:fldChar w:fldCharType="begin"/>
        </w:r>
        <w:r>
          <w:rPr>
            <w:noProof/>
            <w:webHidden/>
          </w:rPr>
          <w:instrText xml:space="preserve"> PAGEREF _Toc482815660 \h </w:instrText>
        </w:r>
        <w:r>
          <w:rPr>
            <w:noProof/>
            <w:webHidden/>
          </w:rPr>
        </w:r>
        <w:r>
          <w:rPr>
            <w:noProof/>
            <w:webHidden/>
          </w:rPr>
          <w:fldChar w:fldCharType="separate"/>
        </w:r>
        <w:r>
          <w:rPr>
            <w:noProof/>
            <w:webHidden/>
          </w:rPr>
          <w:t>77</w:t>
        </w:r>
        <w:r>
          <w:rPr>
            <w:noProof/>
            <w:webHidden/>
          </w:rPr>
          <w:fldChar w:fldCharType="end"/>
        </w:r>
      </w:hyperlink>
    </w:p>
    <w:p w14:paraId="4C5DEAA8"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1" w:history="1">
        <w:r w:rsidRPr="00C47DA9">
          <w:rPr>
            <w:rStyle w:val="Lienhypertexte"/>
            <w:noProof/>
          </w:rPr>
          <w:t>6.3.2.</w:t>
        </w:r>
        <w:r>
          <w:rPr>
            <w:rFonts w:asciiTheme="minorHAnsi" w:eastAsiaTheme="minorEastAsia" w:hAnsiTheme="minorHAnsi" w:cstheme="minorBidi"/>
            <w:i w:val="0"/>
            <w:iCs w:val="0"/>
            <w:noProof/>
            <w:sz w:val="22"/>
            <w:szCs w:val="22"/>
            <w:lang w:eastAsia="fr-BE"/>
          </w:rPr>
          <w:tab/>
        </w:r>
        <w:r w:rsidRPr="00C47DA9">
          <w:rPr>
            <w:rStyle w:val="Lienhypertexte"/>
            <w:noProof/>
          </w:rPr>
          <w:t>Catégories</w:t>
        </w:r>
        <w:r>
          <w:rPr>
            <w:noProof/>
            <w:webHidden/>
          </w:rPr>
          <w:tab/>
        </w:r>
        <w:r>
          <w:rPr>
            <w:noProof/>
            <w:webHidden/>
          </w:rPr>
          <w:fldChar w:fldCharType="begin"/>
        </w:r>
        <w:r>
          <w:rPr>
            <w:noProof/>
            <w:webHidden/>
          </w:rPr>
          <w:instrText xml:space="preserve"> PAGEREF _Toc482815661 \h </w:instrText>
        </w:r>
        <w:r>
          <w:rPr>
            <w:noProof/>
            <w:webHidden/>
          </w:rPr>
        </w:r>
        <w:r>
          <w:rPr>
            <w:noProof/>
            <w:webHidden/>
          </w:rPr>
          <w:fldChar w:fldCharType="separate"/>
        </w:r>
        <w:r>
          <w:rPr>
            <w:noProof/>
            <w:webHidden/>
          </w:rPr>
          <w:t>77</w:t>
        </w:r>
        <w:r>
          <w:rPr>
            <w:noProof/>
            <w:webHidden/>
          </w:rPr>
          <w:fldChar w:fldCharType="end"/>
        </w:r>
      </w:hyperlink>
    </w:p>
    <w:p w14:paraId="4A000A4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2" w:history="1">
        <w:r w:rsidRPr="00C47DA9">
          <w:rPr>
            <w:rStyle w:val="Lienhypertexte"/>
            <w:noProof/>
          </w:rPr>
          <w:t>6.3.3.</w:t>
        </w:r>
        <w:r>
          <w:rPr>
            <w:rFonts w:asciiTheme="minorHAnsi" w:eastAsiaTheme="minorEastAsia" w:hAnsiTheme="minorHAnsi" w:cstheme="minorBidi"/>
            <w:i w:val="0"/>
            <w:iCs w:val="0"/>
            <w:noProof/>
            <w:sz w:val="22"/>
            <w:szCs w:val="22"/>
            <w:lang w:eastAsia="fr-BE"/>
          </w:rPr>
          <w:tab/>
        </w:r>
        <w:r w:rsidRPr="00C47DA9">
          <w:rPr>
            <w:rStyle w:val="Lienhypertexte"/>
            <w:noProof/>
          </w:rPr>
          <w:t>Fonction</w:t>
        </w:r>
        <w:r>
          <w:rPr>
            <w:noProof/>
            <w:webHidden/>
          </w:rPr>
          <w:tab/>
        </w:r>
        <w:r>
          <w:rPr>
            <w:noProof/>
            <w:webHidden/>
          </w:rPr>
          <w:fldChar w:fldCharType="begin"/>
        </w:r>
        <w:r>
          <w:rPr>
            <w:noProof/>
            <w:webHidden/>
          </w:rPr>
          <w:instrText xml:space="preserve"> PAGEREF _Toc482815662 \h </w:instrText>
        </w:r>
        <w:r>
          <w:rPr>
            <w:noProof/>
            <w:webHidden/>
          </w:rPr>
        </w:r>
        <w:r>
          <w:rPr>
            <w:noProof/>
            <w:webHidden/>
          </w:rPr>
          <w:fldChar w:fldCharType="separate"/>
        </w:r>
        <w:r>
          <w:rPr>
            <w:noProof/>
            <w:webHidden/>
          </w:rPr>
          <w:t>78</w:t>
        </w:r>
        <w:r>
          <w:rPr>
            <w:noProof/>
            <w:webHidden/>
          </w:rPr>
          <w:fldChar w:fldCharType="end"/>
        </w:r>
      </w:hyperlink>
    </w:p>
    <w:p w14:paraId="7E97C239"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3" w:history="1">
        <w:r w:rsidRPr="00C47DA9">
          <w:rPr>
            <w:rStyle w:val="Lienhypertexte"/>
            <w:noProof/>
          </w:rPr>
          <w:t>6.3.4.</w:t>
        </w:r>
        <w:r>
          <w:rPr>
            <w:rFonts w:asciiTheme="minorHAnsi" w:eastAsiaTheme="minorEastAsia" w:hAnsiTheme="minorHAnsi" w:cstheme="minorBidi"/>
            <w:i w:val="0"/>
            <w:iCs w:val="0"/>
            <w:noProof/>
            <w:sz w:val="22"/>
            <w:szCs w:val="22"/>
            <w:lang w:eastAsia="fr-BE"/>
          </w:rPr>
          <w:tab/>
        </w:r>
        <w:r w:rsidRPr="00C47DA9">
          <w:rPr>
            <w:rStyle w:val="Lienhypertexte"/>
            <w:noProof/>
          </w:rPr>
          <w:t>Office de Contrôle des Assureurs + FSMA</w:t>
        </w:r>
        <w:r>
          <w:rPr>
            <w:noProof/>
            <w:webHidden/>
          </w:rPr>
          <w:tab/>
        </w:r>
        <w:r>
          <w:rPr>
            <w:noProof/>
            <w:webHidden/>
          </w:rPr>
          <w:fldChar w:fldCharType="begin"/>
        </w:r>
        <w:r>
          <w:rPr>
            <w:noProof/>
            <w:webHidden/>
          </w:rPr>
          <w:instrText xml:space="preserve"> PAGEREF _Toc482815663 \h </w:instrText>
        </w:r>
        <w:r>
          <w:rPr>
            <w:noProof/>
            <w:webHidden/>
          </w:rPr>
        </w:r>
        <w:r>
          <w:rPr>
            <w:noProof/>
            <w:webHidden/>
          </w:rPr>
          <w:fldChar w:fldCharType="separate"/>
        </w:r>
        <w:r>
          <w:rPr>
            <w:noProof/>
            <w:webHidden/>
          </w:rPr>
          <w:t>78</w:t>
        </w:r>
        <w:r>
          <w:rPr>
            <w:noProof/>
            <w:webHidden/>
          </w:rPr>
          <w:fldChar w:fldCharType="end"/>
        </w:r>
      </w:hyperlink>
    </w:p>
    <w:p w14:paraId="1F0302E3"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4" w:history="1">
        <w:r w:rsidRPr="00C47DA9">
          <w:rPr>
            <w:rStyle w:val="Lienhypertexte"/>
            <w:noProof/>
          </w:rPr>
          <w:t>6.3.5.</w:t>
        </w:r>
        <w:r>
          <w:rPr>
            <w:rFonts w:asciiTheme="minorHAnsi" w:eastAsiaTheme="minorEastAsia" w:hAnsiTheme="minorHAnsi" w:cstheme="minorBidi"/>
            <w:i w:val="0"/>
            <w:iCs w:val="0"/>
            <w:noProof/>
            <w:sz w:val="22"/>
            <w:szCs w:val="22"/>
            <w:lang w:eastAsia="fr-BE"/>
          </w:rPr>
          <w:tab/>
        </w:r>
        <w:r w:rsidRPr="00C47DA9">
          <w:rPr>
            <w:rStyle w:val="Lienhypertexte"/>
            <w:noProof/>
          </w:rPr>
          <w:t>Notion de risque</w:t>
        </w:r>
        <w:r>
          <w:rPr>
            <w:noProof/>
            <w:webHidden/>
          </w:rPr>
          <w:tab/>
        </w:r>
        <w:r>
          <w:rPr>
            <w:noProof/>
            <w:webHidden/>
          </w:rPr>
          <w:fldChar w:fldCharType="begin"/>
        </w:r>
        <w:r>
          <w:rPr>
            <w:noProof/>
            <w:webHidden/>
          </w:rPr>
          <w:instrText xml:space="preserve"> PAGEREF _Toc482815664 \h </w:instrText>
        </w:r>
        <w:r>
          <w:rPr>
            <w:noProof/>
            <w:webHidden/>
          </w:rPr>
        </w:r>
        <w:r>
          <w:rPr>
            <w:noProof/>
            <w:webHidden/>
          </w:rPr>
          <w:fldChar w:fldCharType="separate"/>
        </w:r>
        <w:r>
          <w:rPr>
            <w:noProof/>
            <w:webHidden/>
          </w:rPr>
          <w:t>78</w:t>
        </w:r>
        <w:r>
          <w:rPr>
            <w:noProof/>
            <w:webHidden/>
          </w:rPr>
          <w:fldChar w:fldCharType="end"/>
        </w:r>
      </w:hyperlink>
    </w:p>
    <w:p w14:paraId="519293C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5" w:history="1">
        <w:r w:rsidRPr="00C47DA9">
          <w:rPr>
            <w:rStyle w:val="Lienhypertexte"/>
            <w:noProof/>
          </w:rPr>
          <w:t>6.3.6.</w:t>
        </w:r>
        <w:r>
          <w:rPr>
            <w:rFonts w:asciiTheme="minorHAnsi" w:eastAsiaTheme="minorEastAsia" w:hAnsiTheme="minorHAnsi" w:cstheme="minorBidi"/>
            <w:i w:val="0"/>
            <w:iCs w:val="0"/>
            <w:noProof/>
            <w:sz w:val="22"/>
            <w:szCs w:val="22"/>
            <w:lang w:eastAsia="fr-BE"/>
          </w:rPr>
          <w:tab/>
        </w:r>
        <w:r w:rsidRPr="00C47DA9">
          <w:rPr>
            <w:rStyle w:val="Lienhypertexte"/>
            <w:noProof/>
          </w:rPr>
          <w:t>Caractères du contrat d'assurance</w:t>
        </w:r>
        <w:r>
          <w:rPr>
            <w:noProof/>
            <w:webHidden/>
          </w:rPr>
          <w:tab/>
        </w:r>
        <w:r>
          <w:rPr>
            <w:noProof/>
            <w:webHidden/>
          </w:rPr>
          <w:fldChar w:fldCharType="begin"/>
        </w:r>
        <w:r>
          <w:rPr>
            <w:noProof/>
            <w:webHidden/>
          </w:rPr>
          <w:instrText xml:space="preserve"> PAGEREF _Toc482815665 \h </w:instrText>
        </w:r>
        <w:r>
          <w:rPr>
            <w:noProof/>
            <w:webHidden/>
          </w:rPr>
        </w:r>
        <w:r>
          <w:rPr>
            <w:noProof/>
            <w:webHidden/>
          </w:rPr>
          <w:fldChar w:fldCharType="separate"/>
        </w:r>
        <w:r>
          <w:rPr>
            <w:noProof/>
            <w:webHidden/>
          </w:rPr>
          <w:t>79</w:t>
        </w:r>
        <w:r>
          <w:rPr>
            <w:noProof/>
            <w:webHidden/>
          </w:rPr>
          <w:fldChar w:fldCharType="end"/>
        </w:r>
      </w:hyperlink>
    </w:p>
    <w:p w14:paraId="7F3D41C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6" w:history="1">
        <w:r w:rsidRPr="00C47DA9">
          <w:rPr>
            <w:rStyle w:val="Lienhypertexte"/>
            <w:noProof/>
          </w:rPr>
          <w:t>6.3.7.</w:t>
        </w:r>
        <w:r>
          <w:rPr>
            <w:rFonts w:asciiTheme="minorHAnsi" w:eastAsiaTheme="minorEastAsia" w:hAnsiTheme="minorHAnsi" w:cstheme="minorBidi"/>
            <w:i w:val="0"/>
            <w:iCs w:val="0"/>
            <w:noProof/>
            <w:sz w:val="22"/>
            <w:szCs w:val="22"/>
            <w:lang w:eastAsia="fr-BE"/>
          </w:rPr>
          <w:tab/>
        </w:r>
        <w:r w:rsidRPr="00C47DA9">
          <w:rPr>
            <w:rStyle w:val="Lienhypertexte"/>
            <w:noProof/>
          </w:rPr>
          <w:t>Obligations de l'assuré</w:t>
        </w:r>
        <w:r>
          <w:rPr>
            <w:noProof/>
            <w:webHidden/>
          </w:rPr>
          <w:tab/>
        </w:r>
        <w:r>
          <w:rPr>
            <w:noProof/>
            <w:webHidden/>
          </w:rPr>
          <w:fldChar w:fldCharType="begin"/>
        </w:r>
        <w:r>
          <w:rPr>
            <w:noProof/>
            <w:webHidden/>
          </w:rPr>
          <w:instrText xml:space="preserve"> PAGEREF _Toc482815666 \h </w:instrText>
        </w:r>
        <w:r>
          <w:rPr>
            <w:noProof/>
            <w:webHidden/>
          </w:rPr>
        </w:r>
        <w:r>
          <w:rPr>
            <w:noProof/>
            <w:webHidden/>
          </w:rPr>
          <w:fldChar w:fldCharType="separate"/>
        </w:r>
        <w:r>
          <w:rPr>
            <w:noProof/>
            <w:webHidden/>
          </w:rPr>
          <w:t>79</w:t>
        </w:r>
        <w:r>
          <w:rPr>
            <w:noProof/>
            <w:webHidden/>
          </w:rPr>
          <w:fldChar w:fldCharType="end"/>
        </w:r>
      </w:hyperlink>
    </w:p>
    <w:p w14:paraId="6C10E6A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67" w:history="1">
        <w:r w:rsidRPr="00C47DA9">
          <w:rPr>
            <w:rStyle w:val="Lienhypertexte"/>
            <w:noProof/>
          </w:rPr>
          <w:t>6.3.8.</w:t>
        </w:r>
        <w:r>
          <w:rPr>
            <w:rFonts w:asciiTheme="minorHAnsi" w:eastAsiaTheme="minorEastAsia" w:hAnsiTheme="minorHAnsi" w:cstheme="minorBidi"/>
            <w:i w:val="0"/>
            <w:iCs w:val="0"/>
            <w:noProof/>
            <w:sz w:val="22"/>
            <w:szCs w:val="22"/>
            <w:lang w:eastAsia="fr-BE"/>
          </w:rPr>
          <w:tab/>
        </w:r>
        <w:r w:rsidRPr="00C47DA9">
          <w:rPr>
            <w:rStyle w:val="Lienhypertexte"/>
            <w:noProof/>
          </w:rPr>
          <w:t>Obligations de l'assureur</w:t>
        </w:r>
        <w:r>
          <w:rPr>
            <w:noProof/>
            <w:webHidden/>
          </w:rPr>
          <w:tab/>
        </w:r>
        <w:r>
          <w:rPr>
            <w:noProof/>
            <w:webHidden/>
          </w:rPr>
          <w:fldChar w:fldCharType="begin"/>
        </w:r>
        <w:r>
          <w:rPr>
            <w:noProof/>
            <w:webHidden/>
          </w:rPr>
          <w:instrText xml:space="preserve"> PAGEREF _Toc482815667 \h </w:instrText>
        </w:r>
        <w:r>
          <w:rPr>
            <w:noProof/>
            <w:webHidden/>
          </w:rPr>
        </w:r>
        <w:r>
          <w:rPr>
            <w:noProof/>
            <w:webHidden/>
          </w:rPr>
          <w:fldChar w:fldCharType="separate"/>
        </w:r>
        <w:r>
          <w:rPr>
            <w:noProof/>
            <w:webHidden/>
          </w:rPr>
          <w:t>79</w:t>
        </w:r>
        <w:r>
          <w:rPr>
            <w:noProof/>
            <w:webHidden/>
          </w:rPr>
          <w:fldChar w:fldCharType="end"/>
        </w:r>
      </w:hyperlink>
    </w:p>
    <w:p w14:paraId="5F6E5908"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68" w:history="1">
        <w:r w:rsidRPr="00C47DA9">
          <w:rPr>
            <w:rStyle w:val="Lienhypertexte"/>
            <w:noProof/>
          </w:rPr>
          <w:t>6.4.</w:t>
        </w:r>
        <w:r>
          <w:rPr>
            <w:rFonts w:asciiTheme="minorHAnsi" w:eastAsiaTheme="minorEastAsia" w:hAnsiTheme="minorHAnsi" w:cstheme="minorBidi"/>
            <w:smallCaps w:val="0"/>
            <w:noProof/>
            <w:sz w:val="22"/>
            <w:szCs w:val="22"/>
            <w:lang w:eastAsia="fr-BE"/>
          </w:rPr>
          <w:tab/>
        </w:r>
        <w:r w:rsidRPr="00C47DA9">
          <w:rPr>
            <w:rStyle w:val="Lienhypertexte"/>
            <w:noProof/>
          </w:rPr>
          <w:t>Le bail commercial</w:t>
        </w:r>
        <w:r>
          <w:rPr>
            <w:noProof/>
            <w:webHidden/>
          </w:rPr>
          <w:tab/>
        </w:r>
        <w:r>
          <w:rPr>
            <w:noProof/>
            <w:webHidden/>
          </w:rPr>
          <w:fldChar w:fldCharType="begin"/>
        </w:r>
        <w:r>
          <w:rPr>
            <w:noProof/>
            <w:webHidden/>
          </w:rPr>
          <w:instrText xml:space="preserve"> PAGEREF _Toc482815668 \h </w:instrText>
        </w:r>
        <w:r>
          <w:rPr>
            <w:noProof/>
            <w:webHidden/>
          </w:rPr>
        </w:r>
        <w:r>
          <w:rPr>
            <w:noProof/>
            <w:webHidden/>
          </w:rPr>
          <w:fldChar w:fldCharType="separate"/>
        </w:r>
        <w:r>
          <w:rPr>
            <w:noProof/>
            <w:webHidden/>
          </w:rPr>
          <w:t>80</w:t>
        </w:r>
        <w:r>
          <w:rPr>
            <w:noProof/>
            <w:webHidden/>
          </w:rPr>
          <w:fldChar w:fldCharType="end"/>
        </w:r>
      </w:hyperlink>
    </w:p>
    <w:p w14:paraId="275A6E2F"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69" w:history="1">
        <w:r w:rsidRPr="00C47DA9">
          <w:rPr>
            <w:rStyle w:val="Lienhypertexte"/>
            <w:noProof/>
          </w:rPr>
          <w:t>6.5.</w:t>
        </w:r>
        <w:r>
          <w:rPr>
            <w:rFonts w:asciiTheme="minorHAnsi" w:eastAsiaTheme="minorEastAsia" w:hAnsiTheme="minorHAnsi" w:cstheme="minorBidi"/>
            <w:smallCaps w:val="0"/>
            <w:noProof/>
            <w:sz w:val="22"/>
            <w:szCs w:val="22"/>
            <w:lang w:eastAsia="fr-BE"/>
          </w:rPr>
          <w:tab/>
        </w:r>
        <w:r w:rsidRPr="00C47DA9">
          <w:rPr>
            <w:rStyle w:val="Lienhypertexte"/>
            <w:noProof/>
          </w:rPr>
          <w:t>Le gage commercial</w:t>
        </w:r>
        <w:r>
          <w:rPr>
            <w:noProof/>
            <w:webHidden/>
          </w:rPr>
          <w:tab/>
        </w:r>
        <w:r>
          <w:rPr>
            <w:noProof/>
            <w:webHidden/>
          </w:rPr>
          <w:fldChar w:fldCharType="begin"/>
        </w:r>
        <w:r>
          <w:rPr>
            <w:noProof/>
            <w:webHidden/>
          </w:rPr>
          <w:instrText xml:space="preserve"> PAGEREF _Toc482815669 \h </w:instrText>
        </w:r>
        <w:r>
          <w:rPr>
            <w:noProof/>
            <w:webHidden/>
          </w:rPr>
        </w:r>
        <w:r>
          <w:rPr>
            <w:noProof/>
            <w:webHidden/>
          </w:rPr>
          <w:fldChar w:fldCharType="separate"/>
        </w:r>
        <w:r>
          <w:rPr>
            <w:noProof/>
            <w:webHidden/>
          </w:rPr>
          <w:t>80</w:t>
        </w:r>
        <w:r>
          <w:rPr>
            <w:noProof/>
            <w:webHidden/>
          </w:rPr>
          <w:fldChar w:fldCharType="end"/>
        </w:r>
      </w:hyperlink>
    </w:p>
    <w:p w14:paraId="5341D89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70" w:history="1">
        <w:r w:rsidRPr="00C47DA9">
          <w:rPr>
            <w:rStyle w:val="Lienhypertexte"/>
            <w:noProof/>
          </w:rPr>
          <w:t>6.6.</w:t>
        </w:r>
        <w:r>
          <w:rPr>
            <w:rFonts w:asciiTheme="minorHAnsi" w:eastAsiaTheme="minorEastAsia" w:hAnsiTheme="minorHAnsi" w:cstheme="minorBidi"/>
            <w:smallCaps w:val="0"/>
            <w:noProof/>
            <w:sz w:val="22"/>
            <w:szCs w:val="22"/>
            <w:lang w:eastAsia="fr-BE"/>
          </w:rPr>
          <w:tab/>
        </w:r>
        <w:r w:rsidRPr="00C47DA9">
          <w:rPr>
            <w:rStyle w:val="Lienhypertexte"/>
            <w:noProof/>
          </w:rPr>
          <w:t>Contrats de comptes bancaires en paradis bancaires</w:t>
        </w:r>
        <w:r>
          <w:rPr>
            <w:noProof/>
            <w:webHidden/>
          </w:rPr>
          <w:tab/>
        </w:r>
        <w:r>
          <w:rPr>
            <w:noProof/>
            <w:webHidden/>
          </w:rPr>
          <w:fldChar w:fldCharType="begin"/>
        </w:r>
        <w:r>
          <w:rPr>
            <w:noProof/>
            <w:webHidden/>
          </w:rPr>
          <w:instrText xml:space="preserve"> PAGEREF _Toc482815670 \h </w:instrText>
        </w:r>
        <w:r>
          <w:rPr>
            <w:noProof/>
            <w:webHidden/>
          </w:rPr>
        </w:r>
        <w:r>
          <w:rPr>
            <w:noProof/>
            <w:webHidden/>
          </w:rPr>
          <w:fldChar w:fldCharType="separate"/>
        </w:r>
        <w:r>
          <w:rPr>
            <w:noProof/>
            <w:webHidden/>
          </w:rPr>
          <w:t>80</w:t>
        </w:r>
        <w:r>
          <w:rPr>
            <w:noProof/>
            <w:webHidden/>
          </w:rPr>
          <w:fldChar w:fldCharType="end"/>
        </w:r>
      </w:hyperlink>
    </w:p>
    <w:p w14:paraId="201EF8B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1" w:history="1">
        <w:r w:rsidRPr="00C47DA9">
          <w:rPr>
            <w:rStyle w:val="Lienhypertexte"/>
            <w:noProof/>
          </w:rPr>
          <w:t>6.6.1.</w:t>
        </w:r>
        <w:r>
          <w:rPr>
            <w:rFonts w:asciiTheme="minorHAnsi" w:eastAsiaTheme="minorEastAsia" w:hAnsiTheme="minorHAnsi" w:cstheme="minorBidi"/>
            <w:i w:val="0"/>
            <w:iCs w:val="0"/>
            <w:noProof/>
            <w:sz w:val="22"/>
            <w:szCs w:val="22"/>
            <w:lang w:eastAsia="fr-BE"/>
          </w:rPr>
          <w:tab/>
        </w:r>
        <w:r w:rsidRPr="00C47DA9">
          <w:rPr>
            <w:rStyle w:val="Lienhypertexte"/>
            <w:noProof/>
          </w:rPr>
          <w:t>Rappel du cas du compte courant « normal »</w:t>
        </w:r>
        <w:r>
          <w:rPr>
            <w:noProof/>
            <w:webHidden/>
          </w:rPr>
          <w:tab/>
        </w:r>
        <w:r>
          <w:rPr>
            <w:noProof/>
            <w:webHidden/>
          </w:rPr>
          <w:fldChar w:fldCharType="begin"/>
        </w:r>
        <w:r>
          <w:rPr>
            <w:noProof/>
            <w:webHidden/>
          </w:rPr>
          <w:instrText xml:space="preserve"> PAGEREF _Toc482815671 \h </w:instrText>
        </w:r>
        <w:r>
          <w:rPr>
            <w:noProof/>
            <w:webHidden/>
          </w:rPr>
        </w:r>
        <w:r>
          <w:rPr>
            <w:noProof/>
            <w:webHidden/>
          </w:rPr>
          <w:fldChar w:fldCharType="separate"/>
        </w:r>
        <w:r>
          <w:rPr>
            <w:noProof/>
            <w:webHidden/>
          </w:rPr>
          <w:t>80</w:t>
        </w:r>
        <w:r>
          <w:rPr>
            <w:noProof/>
            <w:webHidden/>
          </w:rPr>
          <w:fldChar w:fldCharType="end"/>
        </w:r>
      </w:hyperlink>
    </w:p>
    <w:p w14:paraId="5F375DF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2" w:history="1">
        <w:r w:rsidRPr="00C47DA9">
          <w:rPr>
            <w:rStyle w:val="Lienhypertexte"/>
            <w:noProof/>
          </w:rPr>
          <w:t>6.6.2.</w:t>
        </w:r>
        <w:r>
          <w:rPr>
            <w:rFonts w:asciiTheme="minorHAnsi" w:eastAsiaTheme="minorEastAsia" w:hAnsiTheme="minorHAnsi" w:cstheme="minorBidi"/>
            <w:i w:val="0"/>
            <w:iCs w:val="0"/>
            <w:noProof/>
            <w:sz w:val="22"/>
            <w:szCs w:val="22"/>
            <w:lang w:eastAsia="fr-BE"/>
          </w:rPr>
          <w:tab/>
        </w:r>
        <w:r w:rsidRPr="00C47DA9">
          <w:rPr>
            <w:rStyle w:val="Lienhypertexte"/>
            <w:noProof/>
          </w:rPr>
          <w:t>Compte à numéro</w:t>
        </w:r>
        <w:r>
          <w:rPr>
            <w:noProof/>
            <w:webHidden/>
          </w:rPr>
          <w:tab/>
        </w:r>
        <w:r>
          <w:rPr>
            <w:noProof/>
            <w:webHidden/>
          </w:rPr>
          <w:fldChar w:fldCharType="begin"/>
        </w:r>
        <w:r>
          <w:rPr>
            <w:noProof/>
            <w:webHidden/>
          </w:rPr>
          <w:instrText xml:space="preserve"> PAGEREF _Toc482815672 \h </w:instrText>
        </w:r>
        <w:r>
          <w:rPr>
            <w:noProof/>
            <w:webHidden/>
          </w:rPr>
        </w:r>
        <w:r>
          <w:rPr>
            <w:noProof/>
            <w:webHidden/>
          </w:rPr>
          <w:fldChar w:fldCharType="separate"/>
        </w:r>
        <w:r>
          <w:rPr>
            <w:noProof/>
            <w:webHidden/>
          </w:rPr>
          <w:t>80</w:t>
        </w:r>
        <w:r>
          <w:rPr>
            <w:noProof/>
            <w:webHidden/>
          </w:rPr>
          <w:fldChar w:fldCharType="end"/>
        </w:r>
      </w:hyperlink>
    </w:p>
    <w:p w14:paraId="6A1D9BE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3" w:history="1">
        <w:r w:rsidRPr="00C47DA9">
          <w:rPr>
            <w:rStyle w:val="Lienhypertexte"/>
            <w:noProof/>
          </w:rPr>
          <w:t>6.6.3.</w:t>
        </w:r>
        <w:r>
          <w:rPr>
            <w:rFonts w:asciiTheme="minorHAnsi" w:eastAsiaTheme="minorEastAsia" w:hAnsiTheme="minorHAnsi" w:cstheme="minorBidi"/>
            <w:i w:val="0"/>
            <w:iCs w:val="0"/>
            <w:noProof/>
            <w:sz w:val="22"/>
            <w:szCs w:val="22"/>
            <w:lang w:eastAsia="fr-BE"/>
          </w:rPr>
          <w:tab/>
        </w:r>
        <w:r w:rsidRPr="00C47DA9">
          <w:rPr>
            <w:rStyle w:val="Lienhypertexte"/>
            <w:noProof/>
          </w:rPr>
          <w:t>Compte à numéro avec faux nom et fausse adresse</w:t>
        </w:r>
        <w:r>
          <w:rPr>
            <w:noProof/>
            <w:webHidden/>
          </w:rPr>
          <w:tab/>
        </w:r>
        <w:r>
          <w:rPr>
            <w:noProof/>
            <w:webHidden/>
          </w:rPr>
          <w:fldChar w:fldCharType="begin"/>
        </w:r>
        <w:r>
          <w:rPr>
            <w:noProof/>
            <w:webHidden/>
          </w:rPr>
          <w:instrText xml:space="preserve"> PAGEREF _Toc482815673 \h </w:instrText>
        </w:r>
        <w:r>
          <w:rPr>
            <w:noProof/>
            <w:webHidden/>
          </w:rPr>
        </w:r>
        <w:r>
          <w:rPr>
            <w:noProof/>
            <w:webHidden/>
          </w:rPr>
          <w:fldChar w:fldCharType="separate"/>
        </w:r>
        <w:r>
          <w:rPr>
            <w:noProof/>
            <w:webHidden/>
          </w:rPr>
          <w:t>81</w:t>
        </w:r>
        <w:r>
          <w:rPr>
            <w:noProof/>
            <w:webHidden/>
          </w:rPr>
          <w:fldChar w:fldCharType="end"/>
        </w:r>
      </w:hyperlink>
    </w:p>
    <w:p w14:paraId="0CF2194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4" w:history="1">
        <w:r w:rsidRPr="00C47DA9">
          <w:rPr>
            <w:rStyle w:val="Lienhypertexte"/>
            <w:noProof/>
          </w:rPr>
          <w:t>6.6.4.</w:t>
        </w:r>
        <w:r>
          <w:rPr>
            <w:rFonts w:asciiTheme="minorHAnsi" w:eastAsiaTheme="minorEastAsia" w:hAnsiTheme="minorHAnsi" w:cstheme="minorBidi"/>
            <w:i w:val="0"/>
            <w:iCs w:val="0"/>
            <w:noProof/>
            <w:sz w:val="22"/>
            <w:szCs w:val="22"/>
            <w:lang w:eastAsia="fr-BE"/>
          </w:rPr>
          <w:tab/>
        </w:r>
        <w:r w:rsidRPr="00C47DA9">
          <w:rPr>
            <w:rStyle w:val="Lienhypertexte"/>
            <w:noProof/>
          </w:rPr>
          <w:t>Compte-livret avec faux nom et fausse adresse</w:t>
        </w:r>
        <w:r>
          <w:rPr>
            <w:noProof/>
            <w:webHidden/>
          </w:rPr>
          <w:tab/>
        </w:r>
        <w:r>
          <w:rPr>
            <w:noProof/>
            <w:webHidden/>
          </w:rPr>
          <w:fldChar w:fldCharType="begin"/>
        </w:r>
        <w:r>
          <w:rPr>
            <w:noProof/>
            <w:webHidden/>
          </w:rPr>
          <w:instrText xml:space="preserve"> PAGEREF _Toc482815674 \h </w:instrText>
        </w:r>
        <w:r>
          <w:rPr>
            <w:noProof/>
            <w:webHidden/>
          </w:rPr>
        </w:r>
        <w:r>
          <w:rPr>
            <w:noProof/>
            <w:webHidden/>
          </w:rPr>
          <w:fldChar w:fldCharType="separate"/>
        </w:r>
        <w:r>
          <w:rPr>
            <w:noProof/>
            <w:webHidden/>
          </w:rPr>
          <w:t>81</w:t>
        </w:r>
        <w:r>
          <w:rPr>
            <w:noProof/>
            <w:webHidden/>
          </w:rPr>
          <w:fldChar w:fldCharType="end"/>
        </w:r>
      </w:hyperlink>
    </w:p>
    <w:p w14:paraId="3EC15D8A"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5" w:history="1">
        <w:r w:rsidRPr="00C47DA9">
          <w:rPr>
            <w:rStyle w:val="Lienhypertexte"/>
            <w:noProof/>
          </w:rPr>
          <w:t>6.6.5.</w:t>
        </w:r>
        <w:r>
          <w:rPr>
            <w:rFonts w:asciiTheme="minorHAnsi" w:eastAsiaTheme="minorEastAsia" w:hAnsiTheme="minorHAnsi" w:cstheme="minorBidi"/>
            <w:i w:val="0"/>
            <w:iCs w:val="0"/>
            <w:noProof/>
            <w:sz w:val="22"/>
            <w:szCs w:val="22"/>
            <w:lang w:eastAsia="fr-BE"/>
          </w:rPr>
          <w:tab/>
        </w:r>
        <w:r w:rsidRPr="00C47DA9">
          <w:rPr>
            <w:rStyle w:val="Lienhypertexte"/>
            <w:noProof/>
          </w:rPr>
          <w:t>Technique du compte « tiers-ouvert »</w:t>
        </w:r>
        <w:r>
          <w:rPr>
            <w:noProof/>
            <w:webHidden/>
          </w:rPr>
          <w:tab/>
        </w:r>
        <w:r>
          <w:rPr>
            <w:noProof/>
            <w:webHidden/>
          </w:rPr>
          <w:fldChar w:fldCharType="begin"/>
        </w:r>
        <w:r>
          <w:rPr>
            <w:noProof/>
            <w:webHidden/>
          </w:rPr>
          <w:instrText xml:space="preserve"> PAGEREF _Toc482815675 \h </w:instrText>
        </w:r>
        <w:r>
          <w:rPr>
            <w:noProof/>
            <w:webHidden/>
          </w:rPr>
        </w:r>
        <w:r>
          <w:rPr>
            <w:noProof/>
            <w:webHidden/>
          </w:rPr>
          <w:fldChar w:fldCharType="separate"/>
        </w:r>
        <w:r>
          <w:rPr>
            <w:noProof/>
            <w:webHidden/>
          </w:rPr>
          <w:t>81</w:t>
        </w:r>
        <w:r>
          <w:rPr>
            <w:noProof/>
            <w:webHidden/>
          </w:rPr>
          <w:fldChar w:fldCharType="end"/>
        </w:r>
      </w:hyperlink>
    </w:p>
    <w:p w14:paraId="1B2E4450"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76" w:history="1">
        <w:r w:rsidRPr="00C47DA9">
          <w:rPr>
            <w:rStyle w:val="Lienhypertexte"/>
            <w:noProof/>
          </w:rPr>
          <w:t>6.7.</w:t>
        </w:r>
        <w:r>
          <w:rPr>
            <w:rFonts w:asciiTheme="minorHAnsi" w:eastAsiaTheme="minorEastAsia" w:hAnsiTheme="minorHAnsi" w:cstheme="minorBidi"/>
            <w:smallCaps w:val="0"/>
            <w:noProof/>
            <w:sz w:val="22"/>
            <w:szCs w:val="22"/>
            <w:lang w:eastAsia="fr-BE"/>
          </w:rPr>
          <w:tab/>
        </w:r>
        <w:r w:rsidRPr="00C47DA9">
          <w:rPr>
            <w:rStyle w:val="Lienhypertexte"/>
            <w:noProof/>
          </w:rPr>
          <w:t>Contrats de société de type TRUST en paradis fiscaux</w:t>
        </w:r>
        <w:r>
          <w:rPr>
            <w:noProof/>
            <w:webHidden/>
          </w:rPr>
          <w:tab/>
        </w:r>
        <w:r>
          <w:rPr>
            <w:noProof/>
            <w:webHidden/>
          </w:rPr>
          <w:fldChar w:fldCharType="begin"/>
        </w:r>
        <w:r>
          <w:rPr>
            <w:noProof/>
            <w:webHidden/>
          </w:rPr>
          <w:instrText xml:space="preserve"> PAGEREF _Toc482815676 \h </w:instrText>
        </w:r>
        <w:r>
          <w:rPr>
            <w:noProof/>
            <w:webHidden/>
          </w:rPr>
        </w:r>
        <w:r>
          <w:rPr>
            <w:noProof/>
            <w:webHidden/>
          </w:rPr>
          <w:fldChar w:fldCharType="separate"/>
        </w:r>
        <w:r>
          <w:rPr>
            <w:noProof/>
            <w:webHidden/>
          </w:rPr>
          <w:t>81</w:t>
        </w:r>
        <w:r>
          <w:rPr>
            <w:noProof/>
            <w:webHidden/>
          </w:rPr>
          <w:fldChar w:fldCharType="end"/>
        </w:r>
      </w:hyperlink>
    </w:p>
    <w:p w14:paraId="58FF67FC"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7" w:history="1">
        <w:r w:rsidRPr="00C47DA9">
          <w:rPr>
            <w:rStyle w:val="Lienhypertexte"/>
            <w:noProof/>
          </w:rPr>
          <w:t>6.7.1.</w:t>
        </w:r>
        <w:r>
          <w:rPr>
            <w:rFonts w:asciiTheme="minorHAnsi" w:eastAsiaTheme="minorEastAsia" w:hAnsiTheme="minorHAnsi" w:cstheme="minorBidi"/>
            <w:i w:val="0"/>
            <w:iCs w:val="0"/>
            <w:noProof/>
            <w:sz w:val="22"/>
            <w:szCs w:val="22"/>
            <w:lang w:eastAsia="fr-BE"/>
          </w:rPr>
          <w:tab/>
        </w:r>
        <w:r w:rsidRPr="00C47DA9">
          <w:rPr>
            <w:rStyle w:val="Lienhypertexte"/>
            <w:noProof/>
          </w:rPr>
          <w:t>Intervenants</w:t>
        </w:r>
        <w:r>
          <w:rPr>
            <w:noProof/>
            <w:webHidden/>
          </w:rPr>
          <w:tab/>
        </w:r>
        <w:r>
          <w:rPr>
            <w:noProof/>
            <w:webHidden/>
          </w:rPr>
          <w:fldChar w:fldCharType="begin"/>
        </w:r>
        <w:r>
          <w:rPr>
            <w:noProof/>
            <w:webHidden/>
          </w:rPr>
          <w:instrText xml:space="preserve"> PAGEREF _Toc482815677 \h </w:instrText>
        </w:r>
        <w:r>
          <w:rPr>
            <w:noProof/>
            <w:webHidden/>
          </w:rPr>
        </w:r>
        <w:r>
          <w:rPr>
            <w:noProof/>
            <w:webHidden/>
          </w:rPr>
          <w:fldChar w:fldCharType="separate"/>
        </w:r>
        <w:r>
          <w:rPr>
            <w:noProof/>
            <w:webHidden/>
          </w:rPr>
          <w:t>82</w:t>
        </w:r>
        <w:r>
          <w:rPr>
            <w:noProof/>
            <w:webHidden/>
          </w:rPr>
          <w:fldChar w:fldCharType="end"/>
        </w:r>
      </w:hyperlink>
    </w:p>
    <w:p w14:paraId="59450DD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8" w:history="1">
        <w:r w:rsidRPr="00C47DA9">
          <w:rPr>
            <w:rStyle w:val="Lienhypertexte"/>
            <w:noProof/>
          </w:rPr>
          <w:t>6.7.2.</w:t>
        </w:r>
        <w:r>
          <w:rPr>
            <w:rFonts w:asciiTheme="minorHAnsi" w:eastAsiaTheme="minorEastAsia" w:hAnsiTheme="minorHAnsi" w:cstheme="minorBidi"/>
            <w:i w:val="0"/>
            <w:iCs w:val="0"/>
            <w:noProof/>
            <w:sz w:val="22"/>
            <w:szCs w:val="22"/>
            <w:lang w:eastAsia="fr-BE"/>
          </w:rPr>
          <w:tab/>
        </w:r>
        <w:r w:rsidRPr="00C47DA9">
          <w:rPr>
            <w:rStyle w:val="Lienhypertexte"/>
            <w:noProof/>
          </w:rPr>
          <w:t>Mode de fonctionnement</w:t>
        </w:r>
        <w:r>
          <w:rPr>
            <w:noProof/>
            <w:webHidden/>
          </w:rPr>
          <w:tab/>
        </w:r>
        <w:r>
          <w:rPr>
            <w:noProof/>
            <w:webHidden/>
          </w:rPr>
          <w:fldChar w:fldCharType="begin"/>
        </w:r>
        <w:r>
          <w:rPr>
            <w:noProof/>
            <w:webHidden/>
          </w:rPr>
          <w:instrText xml:space="preserve"> PAGEREF _Toc482815678 \h </w:instrText>
        </w:r>
        <w:r>
          <w:rPr>
            <w:noProof/>
            <w:webHidden/>
          </w:rPr>
        </w:r>
        <w:r>
          <w:rPr>
            <w:noProof/>
            <w:webHidden/>
          </w:rPr>
          <w:fldChar w:fldCharType="separate"/>
        </w:r>
        <w:r>
          <w:rPr>
            <w:noProof/>
            <w:webHidden/>
          </w:rPr>
          <w:t>82</w:t>
        </w:r>
        <w:r>
          <w:rPr>
            <w:noProof/>
            <w:webHidden/>
          </w:rPr>
          <w:fldChar w:fldCharType="end"/>
        </w:r>
      </w:hyperlink>
    </w:p>
    <w:p w14:paraId="49316632"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79" w:history="1">
        <w:r w:rsidRPr="00C47DA9">
          <w:rPr>
            <w:rStyle w:val="Lienhypertexte"/>
            <w:noProof/>
          </w:rPr>
          <w:t>6.7.3.</w:t>
        </w:r>
        <w:r>
          <w:rPr>
            <w:rFonts w:asciiTheme="minorHAnsi" w:eastAsiaTheme="minorEastAsia" w:hAnsiTheme="minorHAnsi" w:cstheme="minorBidi"/>
            <w:i w:val="0"/>
            <w:iCs w:val="0"/>
            <w:noProof/>
            <w:sz w:val="22"/>
            <w:szCs w:val="22"/>
            <w:lang w:eastAsia="fr-BE"/>
          </w:rPr>
          <w:tab/>
        </w:r>
        <w:r w:rsidRPr="00C47DA9">
          <w:rPr>
            <w:rStyle w:val="Lienhypertexte"/>
            <w:noProof/>
          </w:rPr>
          <w:t>Principe du montage</w:t>
        </w:r>
        <w:r>
          <w:rPr>
            <w:noProof/>
            <w:webHidden/>
          </w:rPr>
          <w:tab/>
        </w:r>
        <w:r>
          <w:rPr>
            <w:noProof/>
            <w:webHidden/>
          </w:rPr>
          <w:fldChar w:fldCharType="begin"/>
        </w:r>
        <w:r>
          <w:rPr>
            <w:noProof/>
            <w:webHidden/>
          </w:rPr>
          <w:instrText xml:space="preserve"> PAGEREF _Toc482815679 \h </w:instrText>
        </w:r>
        <w:r>
          <w:rPr>
            <w:noProof/>
            <w:webHidden/>
          </w:rPr>
        </w:r>
        <w:r>
          <w:rPr>
            <w:noProof/>
            <w:webHidden/>
          </w:rPr>
          <w:fldChar w:fldCharType="separate"/>
        </w:r>
        <w:r>
          <w:rPr>
            <w:noProof/>
            <w:webHidden/>
          </w:rPr>
          <w:t>82</w:t>
        </w:r>
        <w:r>
          <w:rPr>
            <w:noProof/>
            <w:webHidden/>
          </w:rPr>
          <w:fldChar w:fldCharType="end"/>
        </w:r>
      </w:hyperlink>
    </w:p>
    <w:p w14:paraId="072A6BA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0" w:history="1">
        <w:r w:rsidRPr="00C47DA9">
          <w:rPr>
            <w:rStyle w:val="Lienhypertexte"/>
            <w:noProof/>
          </w:rPr>
          <w:t>6.7.4.</w:t>
        </w:r>
        <w:r>
          <w:rPr>
            <w:rFonts w:asciiTheme="minorHAnsi" w:eastAsiaTheme="minorEastAsia" w:hAnsiTheme="minorHAnsi" w:cstheme="minorBidi"/>
            <w:i w:val="0"/>
            <w:iCs w:val="0"/>
            <w:noProof/>
            <w:sz w:val="22"/>
            <w:szCs w:val="22"/>
            <w:lang w:eastAsia="fr-BE"/>
          </w:rPr>
          <w:tab/>
        </w:r>
        <w:r w:rsidRPr="00C47DA9">
          <w:rPr>
            <w:rStyle w:val="Lienhypertexte"/>
            <w:noProof/>
          </w:rPr>
          <w:t>Attention aux Îles Caïmans !</w:t>
        </w:r>
        <w:r>
          <w:rPr>
            <w:noProof/>
            <w:webHidden/>
          </w:rPr>
          <w:tab/>
        </w:r>
        <w:r>
          <w:rPr>
            <w:noProof/>
            <w:webHidden/>
          </w:rPr>
          <w:fldChar w:fldCharType="begin"/>
        </w:r>
        <w:r>
          <w:rPr>
            <w:noProof/>
            <w:webHidden/>
          </w:rPr>
          <w:instrText xml:space="preserve"> PAGEREF _Toc482815680 \h </w:instrText>
        </w:r>
        <w:r>
          <w:rPr>
            <w:noProof/>
            <w:webHidden/>
          </w:rPr>
        </w:r>
        <w:r>
          <w:rPr>
            <w:noProof/>
            <w:webHidden/>
          </w:rPr>
          <w:fldChar w:fldCharType="separate"/>
        </w:r>
        <w:r>
          <w:rPr>
            <w:noProof/>
            <w:webHidden/>
          </w:rPr>
          <w:t>83</w:t>
        </w:r>
        <w:r>
          <w:rPr>
            <w:noProof/>
            <w:webHidden/>
          </w:rPr>
          <w:fldChar w:fldCharType="end"/>
        </w:r>
      </w:hyperlink>
    </w:p>
    <w:p w14:paraId="016F9C57"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81" w:history="1">
        <w:r w:rsidRPr="00C47DA9">
          <w:rPr>
            <w:rStyle w:val="Lienhypertexte"/>
            <w:noProof/>
          </w:rPr>
          <w:t>6.8.</w:t>
        </w:r>
        <w:r>
          <w:rPr>
            <w:rFonts w:asciiTheme="minorHAnsi" w:eastAsiaTheme="minorEastAsia" w:hAnsiTheme="minorHAnsi" w:cstheme="minorBidi"/>
            <w:smallCaps w:val="0"/>
            <w:noProof/>
            <w:sz w:val="22"/>
            <w:szCs w:val="22"/>
            <w:lang w:eastAsia="fr-BE"/>
          </w:rPr>
          <w:tab/>
        </w:r>
        <w:r w:rsidRPr="00C47DA9">
          <w:rPr>
            <w:rStyle w:val="Lienhypertexte"/>
            <w:noProof/>
          </w:rPr>
          <w:t>Différence entre pouvoir financier et pouvoir de décision en entreprise de type holding</w:t>
        </w:r>
        <w:r>
          <w:rPr>
            <w:noProof/>
            <w:webHidden/>
          </w:rPr>
          <w:tab/>
        </w:r>
        <w:r>
          <w:rPr>
            <w:noProof/>
            <w:webHidden/>
          </w:rPr>
          <w:fldChar w:fldCharType="begin"/>
        </w:r>
        <w:r>
          <w:rPr>
            <w:noProof/>
            <w:webHidden/>
          </w:rPr>
          <w:instrText xml:space="preserve"> PAGEREF _Toc482815681 \h </w:instrText>
        </w:r>
        <w:r>
          <w:rPr>
            <w:noProof/>
            <w:webHidden/>
          </w:rPr>
        </w:r>
        <w:r>
          <w:rPr>
            <w:noProof/>
            <w:webHidden/>
          </w:rPr>
          <w:fldChar w:fldCharType="separate"/>
        </w:r>
        <w:r>
          <w:rPr>
            <w:noProof/>
            <w:webHidden/>
          </w:rPr>
          <w:t>83</w:t>
        </w:r>
        <w:r>
          <w:rPr>
            <w:noProof/>
            <w:webHidden/>
          </w:rPr>
          <w:fldChar w:fldCharType="end"/>
        </w:r>
      </w:hyperlink>
    </w:p>
    <w:p w14:paraId="31CD6676"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2" w:history="1">
        <w:r w:rsidRPr="00C47DA9">
          <w:rPr>
            <w:rStyle w:val="Lienhypertexte"/>
            <w:noProof/>
          </w:rPr>
          <w:t>6.8.1.</w:t>
        </w:r>
        <w:r>
          <w:rPr>
            <w:rFonts w:asciiTheme="minorHAnsi" w:eastAsiaTheme="minorEastAsia" w:hAnsiTheme="minorHAnsi" w:cstheme="minorBidi"/>
            <w:i w:val="0"/>
            <w:iCs w:val="0"/>
            <w:noProof/>
            <w:sz w:val="22"/>
            <w:szCs w:val="22"/>
            <w:lang w:eastAsia="fr-BE"/>
          </w:rPr>
          <w:tab/>
        </w:r>
        <w:r w:rsidRPr="00C47DA9">
          <w:rPr>
            <w:rStyle w:val="Lienhypertexte"/>
            <w:noProof/>
          </w:rPr>
          <w:t>Pouvoir financier de Frère-Bourgeois dans CNP</w:t>
        </w:r>
        <w:r>
          <w:rPr>
            <w:noProof/>
            <w:webHidden/>
          </w:rPr>
          <w:tab/>
        </w:r>
        <w:r>
          <w:rPr>
            <w:noProof/>
            <w:webHidden/>
          </w:rPr>
          <w:fldChar w:fldCharType="begin"/>
        </w:r>
        <w:r>
          <w:rPr>
            <w:noProof/>
            <w:webHidden/>
          </w:rPr>
          <w:instrText xml:space="preserve"> PAGEREF _Toc482815682 \h </w:instrText>
        </w:r>
        <w:r>
          <w:rPr>
            <w:noProof/>
            <w:webHidden/>
          </w:rPr>
        </w:r>
        <w:r>
          <w:rPr>
            <w:noProof/>
            <w:webHidden/>
          </w:rPr>
          <w:fldChar w:fldCharType="separate"/>
        </w:r>
        <w:r>
          <w:rPr>
            <w:noProof/>
            <w:webHidden/>
          </w:rPr>
          <w:t>83</w:t>
        </w:r>
        <w:r>
          <w:rPr>
            <w:noProof/>
            <w:webHidden/>
          </w:rPr>
          <w:fldChar w:fldCharType="end"/>
        </w:r>
      </w:hyperlink>
    </w:p>
    <w:p w14:paraId="2FE080D4"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3" w:history="1">
        <w:r w:rsidRPr="00C47DA9">
          <w:rPr>
            <w:rStyle w:val="Lienhypertexte"/>
            <w:noProof/>
          </w:rPr>
          <w:t>6.8.2.</w:t>
        </w:r>
        <w:r>
          <w:rPr>
            <w:rFonts w:asciiTheme="minorHAnsi" w:eastAsiaTheme="minorEastAsia" w:hAnsiTheme="minorHAnsi" w:cstheme="minorBidi"/>
            <w:i w:val="0"/>
            <w:iCs w:val="0"/>
            <w:noProof/>
            <w:sz w:val="22"/>
            <w:szCs w:val="22"/>
            <w:lang w:eastAsia="fr-BE"/>
          </w:rPr>
          <w:tab/>
        </w:r>
        <w:r w:rsidRPr="00C47DA9">
          <w:rPr>
            <w:rStyle w:val="Lienhypertexte"/>
            <w:noProof/>
          </w:rPr>
          <w:t>Pouvoir de décision de Frère-Bourgeois dans CNP</w:t>
        </w:r>
        <w:r>
          <w:rPr>
            <w:noProof/>
            <w:webHidden/>
          </w:rPr>
          <w:tab/>
        </w:r>
        <w:r>
          <w:rPr>
            <w:noProof/>
            <w:webHidden/>
          </w:rPr>
          <w:fldChar w:fldCharType="begin"/>
        </w:r>
        <w:r>
          <w:rPr>
            <w:noProof/>
            <w:webHidden/>
          </w:rPr>
          <w:instrText xml:space="preserve"> PAGEREF _Toc482815683 \h </w:instrText>
        </w:r>
        <w:r>
          <w:rPr>
            <w:noProof/>
            <w:webHidden/>
          </w:rPr>
        </w:r>
        <w:r>
          <w:rPr>
            <w:noProof/>
            <w:webHidden/>
          </w:rPr>
          <w:fldChar w:fldCharType="separate"/>
        </w:r>
        <w:r>
          <w:rPr>
            <w:noProof/>
            <w:webHidden/>
          </w:rPr>
          <w:t>83</w:t>
        </w:r>
        <w:r>
          <w:rPr>
            <w:noProof/>
            <w:webHidden/>
          </w:rPr>
          <w:fldChar w:fldCharType="end"/>
        </w:r>
      </w:hyperlink>
    </w:p>
    <w:p w14:paraId="52BB20B1"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4" w:history="1">
        <w:r w:rsidRPr="00C47DA9">
          <w:rPr>
            <w:rStyle w:val="Lienhypertexte"/>
            <w:noProof/>
          </w:rPr>
          <w:t>6.8.3.</w:t>
        </w:r>
        <w:r>
          <w:rPr>
            <w:rFonts w:asciiTheme="minorHAnsi" w:eastAsiaTheme="minorEastAsia" w:hAnsiTheme="minorHAnsi" w:cstheme="minorBidi"/>
            <w:i w:val="0"/>
            <w:iCs w:val="0"/>
            <w:noProof/>
            <w:sz w:val="22"/>
            <w:szCs w:val="22"/>
            <w:lang w:eastAsia="fr-BE"/>
          </w:rPr>
          <w:tab/>
        </w:r>
        <w:r w:rsidRPr="00C47DA9">
          <w:rPr>
            <w:rStyle w:val="Lienhypertexte"/>
            <w:noProof/>
          </w:rPr>
          <w:t>Autre exemple</w:t>
        </w:r>
        <w:r>
          <w:rPr>
            <w:noProof/>
            <w:webHidden/>
          </w:rPr>
          <w:tab/>
        </w:r>
        <w:r>
          <w:rPr>
            <w:noProof/>
            <w:webHidden/>
          </w:rPr>
          <w:fldChar w:fldCharType="begin"/>
        </w:r>
        <w:r>
          <w:rPr>
            <w:noProof/>
            <w:webHidden/>
          </w:rPr>
          <w:instrText xml:space="preserve"> PAGEREF _Toc482815684 \h </w:instrText>
        </w:r>
        <w:r>
          <w:rPr>
            <w:noProof/>
            <w:webHidden/>
          </w:rPr>
        </w:r>
        <w:r>
          <w:rPr>
            <w:noProof/>
            <w:webHidden/>
          </w:rPr>
          <w:fldChar w:fldCharType="separate"/>
        </w:r>
        <w:r>
          <w:rPr>
            <w:noProof/>
            <w:webHidden/>
          </w:rPr>
          <w:t>84</w:t>
        </w:r>
        <w:r>
          <w:rPr>
            <w:noProof/>
            <w:webHidden/>
          </w:rPr>
          <w:fldChar w:fldCharType="end"/>
        </w:r>
      </w:hyperlink>
    </w:p>
    <w:p w14:paraId="6FE1F60F"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85" w:history="1">
        <w:r w:rsidRPr="00C47DA9">
          <w:rPr>
            <w:rStyle w:val="Lienhypertexte"/>
            <w:noProof/>
          </w:rPr>
          <w:t>6.9.</w:t>
        </w:r>
        <w:r>
          <w:rPr>
            <w:rFonts w:asciiTheme="minorHAnsi" w:eastAsiaTheme="minorEastAsia" w:hAnsiTheme="minorHAnsi" w:cstheme="minorBidi"/>
            <w:smallCaps w:val="0"/>
            <w:noProof/>
            <w:sz w:val="22"/>
            <w:szCs w:val="22"/>
            <w:lang w:eastAsia="fr-BE"/>
          </w:rPr>
          <w:tab/>
        </w:r>
        <w:r w:rsidRPr="00C47DA9">
          <w:rPr>
            <w:rStyle w:val="Lienhypertexte"/>
            <w:noProof/>
          </w:rPr>
          <w:t>Application pratique 1 : comment voler  10 000 000 USD ?</w:t>
        </w:r>
        <w:r>
          <w:rPr>
            <w:noProof/>
            <w:webHidden/>
          </w:rPr>
          <w:tab/>
        </w:r>
        <w:r>
          <w:rPr>
            <w:noProof/>
            <w:webHidden/>
          </w:rPr>
          <w:fldChar w:fldCharType="begin"/>
        </w:r>
        <w:r>
          <w:rPr>
            <w:noProof/>
            <w:webHidden/>
          </w:rPr>
          <w:instrText xml:space="preserve"> PAGEREF _Toc482815685 \h </w:instrText>
        </w:r>
        <w:r>
          <w:rPr>
            <w:noProof/>
            <w:webHidden/>
          </w:rPr>
        </w:r>
        <w:r>
          <w:rPr>
            <w:noProof/>
            <w:webHidden/>
          </w:rPr>
          <w:fldChar w:fldCharType="separate"/>
        </w:r>
        <w:r>
          <w:rPr>
            <w:noProof/>
            <w:webHidden/>
          </w:rPr>
          <w:t>84</w:t>
        </w:r>
        <w:r>
          <w:rPr>
            <w:noProof/>
            <w:webHidden/>
          </w:rPr>
          <w:fldChar w:fldCharType="end"/>
        </w:r>
      </w:hyperlink>
    </w:p>
    <w:p w14:paraId="4AA9982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6" w:history="1">
        <w:r w:rsidRPr="00C47DA9">
          <w:rPr>
            <w:rStyle w:val="Lienhypertexte"/>
            <w:noProof/>
          </w:rPr>
          <w:t>6.9.1.</w:t>
        </w:r>
        <w:r>
          <w:rPr>
            <w:rFonts w:asciiTheme="minorHAnsi" w:eastAsiaTheme="minorEastAsia" w:hAnsiTheme="minorHAnsi" w:cstheme="minorBidi"/>
            <w:i w:val="0"/>
            <w:iCs w:val="0"/>
            <w:noProof/>
            <w:sz w:val="22"/>
            <w:szCs w:val="22"/>
            <w:lang w:eastAsia="fr-BE"/>
          </w:rPr>
          <w:tab/>
        </w:r>
        <w:r w:rsidRPr="00C47DA9">
          <w:rPr>
            <w:rStyle w:val="Lienhypertexte"/>
            <w:noProof/>
          </w:rPr>
          <w:t>Fortune des Feldwald</w:t>
        </w:r>
        <w:r>
          <w:rPr>
            <w:noProof/>
            <w:webHidden/>
          </w:rPr>
          <w:tab/>
        </w:r>
        <w:r>
          <w:rPr>
            <w:noProof/>
            <w:webHidden/>
          </w:rPr>
          <w:fldChar w:fldCharType="begin"/>
        </w:r>
        <w:r>
          <w:rPr>
            <w:noProof/>
            <w:webHidden/>
          </w:rPr>
          <w:instrText xml:space="preserve"> PAGEREF _Toc482815686 \h </w:instrText>
        </w:r>
        <w:r>
          <w:rPr>
            <w:noProof/>
            <w:webHidden/>
          </w:rPr>
        </w:r>
        <w:r>
          <w:rPr>
            <w:noProof/>
            <w:webHidden/>
          </w:rPr>
          <w:fldChar w:fldCharType="separate"/>
        </w:r>
        <w:r>
          <w:rPr>
            <w:noProof/>
            <w:webHidden/>
          </w:rPr>
          <w:t>84</w:t>
        </w:r>
        <w:r>
          <w:rPr>
            <w:noProof/>
            <w:webHidden/>
          </w:rPr>
          <w:fldChar w:fldCharType="end"/>
        </w:r>
      </w:hyperlink>
    </w:p>
    <w:p w14:paraId="67400AC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7" w:history="1">
        <w:r w:rsidRPr="00C47DA9">
          <w:rPr>
            <w:rStyle w:val="Lienhypertexte"/>
            <w:noProof/>
          </w:rPr>
          <w:t>6.9.2.</w:t>
        </w:r>
        <w:r>
          <w:rPr>
            <w:rFonts w:asciiTheme="minorHAnsi" w:eastAsiaTheme="minorEastAsia" w:hAnsiTheme="minorHAnsi" w:cstheme="minorBidi"/>
            <w:i w:val="0"/>
            <w:iCs w:val="0"/>
            <w:noProof/>
            <w:sz w:val="22"/>
            <w:szCs w:val="22"/>
            <w:lang w:eastAsia="fr-BE"/>
          </w:rPr>
          <w:tab/>
        </w:r>
        <w:r w:rsidRPr="00C47DA9">
          <w:rPr>
            <w:rStyle w:val="Lienhypertexte"/>
            <w:noProof/>
          </w:rPr>
          <w:t>Mécanisme de la fraude de Broglio</w:t>
        </w:r>
        <w:r>
          <w:rPr>
            <w:noProof/>
            <w:webHidden/>
          </w:rPr>
          <w:tab/>
        </w:r>
        <w:r>
          <w:rPr>
            <w:noProof/>
            <w:webHidden/>
          </w:rPr>
          <w:fldChar w:fldCharType="begin"/>
        </w:r>
        <w:r>
          <w:rPr>
            <w:noProof/>
            <w:webHidden/>
          </w:rPr>
          <w:instrText xml:space="preserve"> PAGEREF _Toc482815687 \h </w:instrText>
        </w:r>
        <w:r>
          <w:rPr>
            <w:noProof/>
            <w:webHidden/>
          </w:rPr>
        </w:r>
        <w:r>
          <w:rPr>
            <w:noProof/>
            <w:webHidden/>
          </w:rPr>
          <w:fldChar w:fldCharType="separate"/>
        </w:r>
        <w:r>
          <w:rPr>
            <w:noProof/>
            <w:webHidden/>
          </w:rPr>
          <w:t>84</w:t>
        </w:r>
        <w:r>
          <w:rPr>
            <w:noProof/>
            <w:webHidden/>
          </w:rPr>
          <w:fldChar w:fldCharType="end"/>
        </w:r>
      </w:hyperlink>
    </w:p>
    <w:p w14:paraId="1EEA6DF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88" w:history="1">
        <w:r w:rsidRPr="00C47DA9">
          <w:rPr>
            <w:rStyle w:val="Lienhypertexte"/>
            <w:noProof/>
          </w:rPr>
          <w:t>6.9.3.</w:t>
        </w:r>
        <w:r>
          <w:rPr>
            <w:rFonts w:asciiTheme="minorHAnsi" w:eastAsiaTheme="minorEastAsia" w:hAnsiTheme="minorHAnsi" w:cstheme="minorBidi"/>
            <w:i w:val="0"/>
            <w:iCs w:val="0"/>
            <w:noProof/>
            <w:sz w:val="22"/>
            <w:szCs w:val="22"/>
            <w:lang w:eastAsia="fr-BE"/>
          </w:rPr>
          <w:tab/>
        </w:r>
        <w:r w:rsidRPr="00C47DA9">
          <w:rPr>
            <w:rStyle w:val="Lienhypertexte"/>
            <w:noProof/>
          </w:rPr>
          <w:t>Explications de la fraude – Montages en Cascade</w:t>
        </w:r>
        <w:r>
          <w:rPr>
            <w:noProof/>
            <w:webHidden/>
          </w:rPr>
          <w:tab/>
        </w:r>
        <w:r>
          <w:rPr>
            <w:noProof/>
            <w:webHidden/>
          </w:rPr>
          <w:fldChar w:fldCharType="begin"/>
        </w:r>
        <w:r>
          <w:rPr>
            <w:noProof/>
            <w:webHidden/>
          </w:rPr>
          <w:instrText xml:space="preserve"> PAGEREF _Toc482815688 \h </w:instrText>
        </w:r>
        <w:r>
          <w:rPr>
            <w:noProof/>
            <w:webHidden/>
          </w:rPr>
        </w:r>
        <w:r>
          <w:rPr>
            <w:noProof/>
            <w:webHidden/>
          </w:rPr>
          <w:fldChar w:fldCharType="separate"/>
        </w:r>
        <w:r>
          <w:rPr>
            <w:noProof/>
            <w:webHidden/>
          </w:rPr>
          <w:t>85</w:t>
        </w:r>
        <w:r>
          <w:rPr>
            <w:noProof/>
            <w:webHidden/>
          </w:rPr>
          <w:fldChar w:fldCharType="end"/>
        </w:r>
      </w:hyperlink>
    </w:p>
    <w:p w14:paraId="2289E910" w14:textId="77777777" w:rsidR="00772723" w:rsidRDefault="00772723">
      <w:pPr>
        <w:pStyle w:val="TM2"/>
        <w:tabs>
          <w:tab w:val="left" w:pos="1000"/>
          <w:tab w:val="right" w:leader="dot" w:pos="9060"/>
        </w:tabs>
        <w:rPr>
          <w:rFonts w:asciiTheme="minorHAnsi" w:eastAsiaTheme="minorEastAsia" w:hAnsiTheme="minorHAnsi" w:cstheme="minorBidi"/>
          <w:smallCaps w:val="0"/>
          <w:noProof/>
          <w:sz w:val="22"/>
          <w:szCs w:val="22"/>
          <w:lang w:eastAsia="fr-BE"/>
        </w:rPr>
      </w:pPr>
      <w:hyperlink w:anchor="_Toc482815689" w:history="1">
        <w:r w:rsidRPr="00C47DA9">
          <w:rPr>
            <w:rStyle w:val="Lienhypertexte"/>
            <w:noProof/>
          </w:rPr>
          <w:t>6.10.</w:t>
        </w:r>
        <w:r>
          <w:rPr>
            <w:rFonts w:asciiTheme="minorHAnsi" w:eastAsiaTheme="minorEastAsia" w:hAnsiTheme="minorHAnsi" w:cstheme="minorBidi"/>
            <w:smallCaps w:val="0"/>
            <w:noProof/>
            <w:sz w:val="22"/>
            <w:szCs w:val="22"/>
            <w:lang w:eastAsia="fr-BE"/>
          </w:rPr>
          <w:tab/>
        </w:r>
        <w:r w:rsidRPr="00C47DA9">
          <w:rPr>
            <w:rStyle w:val="Lienhypertexte"/>
            <w:noProof/>
          </w:rPr>
          <w:t>Application pratique 2 : comment récupérer 10 000 000 USD ?</w:t>
        </w:r>
        <w:r>
          <w:rPr>
            <w:noProof/>
            <w:webHidden/>
          </w:rPr>
          <w:tab/>
        </w:r>
        <w:r>
          <w:rPr>
            <w:noProof/>
            <w:webHidden/>
          </w:rPr>
          <w:fldChar w:fldCharType="begin"/>
        </w:r>
        <w:r>
          <w:rPr>
            <w:noProof/>
            <w:webHidden/>
          </w:rPr>
          <w:instrText xml:space="preserve"> PAGEREF _Toc482815689 \h </w:instrText>
        </w:r>
        <w:r>
          <w:rPr>
            <w:noProof/>
            <w:webHidden/>
          </w:rPr>
        </w:r>
        <w:r>
          <w:rPr>
            <w:noProof/>
            <w:webHidden/>
          </w:rPr>
          <w:fldChar w:fldCharType="separate"/>
        </w:r>
        <w:r>
          <w:rPr>
            <w:noProof/>
            <w:webHidden/>
          </w:rPr>
          <w:t>87</w:t>
        </w:r>
        <w:r>
          <w:rPr>
            <w:noProof/>
            <w:webHidden/>
          </w:rPr>
          <w:fldChar w:fldCharType="end"/>
        </w:r>
      </w:hyperlink>
    </w:p>
    <w:p w14:paraId="1FBECB1A"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0" w:history="1">
        <w:r w:rsidRPr="00C47DA9">
          <w:rPr>
            <w:rStyle w:val="Lienhypertexte"/>
            <w:noProof/>
          </w:rPr>
          <w:t>6.10.1.</w:t>
        </w:r>
        <w:r>
          <w:rPr>
            <w:rFonts w:asciiTheme="minorHAnsi" w:eastAsiaTheme="minorEastAsia" w:hAnsiTheme="minorHAnsi" w:cstheme="minorBidi"/>
            <w:i w:val="0"/>
            <w:iCs w:val="0"/>
            <w:noProof/>
            <w:sz w:val="22"/>
            <w:szCs w:val="22"/>
            <w:lang w:eastAsia="fr-BE"/>
          </w:rPr>
          <w:tab/>
        </w:r>
        <w:r w:rsidRPr="00C47DA9">
          <w:rPr>
            <w:rStyle w:val="Lienhypertexte"/>
            <w:noProof/>
          </w:rPr>
          <w:t>Étape 1 – Al Mensour</w:t>
        </w:r>
        <w:r>
          <w:rPr>
            <w:noProof/>
            <w:webHidden/>
          </w:rPr>
          <w:tab/>
        </w:r>
        <w:r>
          <w:rPr>
            <w:noProof/>
            <w:webHidden/>
          </w:rPr>
          <w:fldChar w:fldCharType="begin"/>
        </w:r>
        <w:r>
          <w:rPr>
            <w:noProof/>
            <w:webHidden/>
          </w:rPr>
          <w:instrText xml:space="preserve"> PAGEREF _Toc482815690 \h </w:instrText>
        </w:r>
        <w:r>
          <w:rPr>
            <w:noProof/>
            <w:webHidden/>
          </w:rPr>
        </w:r>
        <w:r>
          <w:rPr>
            <w:noProof/>
            <w:webHidden/>
          </w:rPr>
          <w:fldChar w:fldCharType="separate"/>
        </w:r>
        <w:r>
          <w:rPr>
            <w:noProof/>
            <w:webHidden/>
          </w:rPr>
          <w:t>87</w:t>
        </w:r>
        <w:r>
          <w:rPr>
            <w:noProof/>
            <w:webHidden/>
          </w:rPr>
          <w:fldChar w:fldCharType="end"/>
        </w:r>
      </w:hyperlink>
    </w:p>
    <w:p w14:paraId="7582787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1" w:history="1">
        <w:r w:rsidRPr="00C47DA9">
          <w:rPr>
            <w:rStyle w:val="Lienhypertexte"/>
            <w:noProof/>
          </w:rPr>
          <w:t>6.10.2.</w:t>
        </w:r>
        <w:r>
          <w:rPr>
            <w:rFonts w:asciiTheme="minorHAnsi" w:eastAsiaTheme="minorEastAsia" w:hAnsiTheme="minorHAnsi" w:cstheme="minorBidi"/>
            <w:i w:val="0"/>
            <w:iCs w:val="0"/>
            <w:noProof/>
            <w:sz w:val="22"/>
            <w:szCs w:val="22"/>
            <w:lang w:eastAsia="fr-BE"/>
          </w:rPr>
          <w:tab/>
        </w:r>
        <w:r w:rsidRPr="00C47DA9">
          <w:rPr>
            <w:rStyle w:val="Lienhypertexte"/>
            <w:noProof/>
          </w:rPr>
          <w:t>Étape 2 - Ouverture d’un compte à pseudonyme en Suisse</w:t>
        </w:r>
        <w:r>
          <w:rPr>
            <w:noProof/>
            <w:webHidden/>
          </w:rPr>
          <w:tab/>
        </w:r>
        <w:r>
          <w:rPr>
            <w:noProof/>
            <w:webHidden/>
          </w:rPr>
          <w:fldChar w:fldCharType="begin"/>
        </w:r>
        <w:r>
          <w:rPr>
            <w:noProof/>
            <w:webHidden/>
          </w:rPr>
          <w:instrText xml:space="preserve"> PAGEREF _Toc482815691 \h </w:instrText>
        </w:r>
        <w:r>
          <w:rPr>
            <w:noProof/>
            <w:webHidden/>
          </w:rPr>
        </w:r>
        <w:r>
          <w:rPr>
            <w:noProof/>
            <w:webHidden/>
          </w:rPr>
          <w:fldChar w:fldCharType="separate"/>
        </w:r>
        <w:r>
          <w:rPr>
            <w:noProof/>
            <w:webHidden/>
          </w:rPr>
          <w:t>88</w:t>
        </w:r>
        <w:r>
          <w:rPr>
            <w:noProof/>
            <w:webHidden/>
          </w:rPr>
          <w:fldChar w:fldCharType="end"/>
        </w:r>
      </w:hyperlink>
    </w:p>
    <w:p w14:paraId="29535248"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2" w:history="1">
        <w:r w:rsidRPr="00C47DA9">
          <w:rPr>
            <w:rStyle w:val="Lienhypertexte"/>
            <w:noProof/>
          </w:rPr>
          <w:t>6.10.3.</w:t>
        </w:r>
        <w:r>
          <w:rPr>
            <w:rFonts w:asciiTheme="minorHAnsi" w:eastAsiaTheme="minorEastAsia" w:hAnsiTheme="minorHAnsi" w:cstheme="minorBidi"/>
            <w:i w:val="0"/>
            <w:iCs w:val="0"/>
            <w:noProof/>
            <w:sz w:val="22"/>
            <w:szCs w:val="22"/>
            <w:lang w:eastAsia="fr-BE"/>
          </w:rPr>
          <w:tab/>
        </w:r>
        <w:r w:rsidRPr="00C47DA9">
          <w:rPr>
            <w:rStyle w:val="Lienhypertexte"/>
            <w:noProof/>
          </w:rPr>
          <w:t>Étape 3 – Laisser traîner…</w:t>
        </w:r>
        <w:r>
          <w:rPr>
            <w:noProof/>
            <w:webHidden/>
          </w:rPr>
          <w:tab/>
        </w:r>
        <w:r>
          <w:rPr>
            <w:noProof/>
            <w:webHidden/>
          </w:rPr>
          <w:fldChar w:fldCharType="begin"/>
        </w:r>
        <w:r>
          <w:rPr>
            <w:noProof/>
            <w:webHidden/>
          </w:rPr>
          <w:instrText xml:space="preserve"> PAGEREF _Toc482815692 \h </w:instrText>
        </w:r>
        <w:r>
          <w:rPr>
            <w:noProof/>
            <w:webHidden/>
          </w:rPr>
        </w:r>
        <w:r>
          <w:rPr>
            <w:noProof/>
            <w:webHidden/>
          </w:rPr>
          <w:fldChar w:fldCharType="separate"/>
        </w:r>
        <w:r>
          <w:rPr>
            <w:noProof/>
            <w:webHidden/>
          </w:rPr>
          <w:t>88</w:t>
        </w:r>
        <w:r>
          <w:rPr>
            <w:noProof/>
            <w:webHidden/>
          </w:rPr>
          <w:fldChar w:fldCharType="end"/>
        </w:r>
      </w:hyperlink>
    </w:p>
    <w:p w14:paraId="7C8855B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3" w:history="1">
        <w:r w:rsidRPr="00C47DA9">
          <w:rPr>
            <w:rStyle w:val="Lienhypertexte"/>
            <w:noProof/>
          </w:rPr>
          <w:t>6.10.4.</w:t>
        </w:r>
        <w:r>
          <w:rPr>
            <w:rFonts w:asciiTheme="minorHAnsi" w:eastAsiaTheme="minorEastAsia" w:hAnsiTheme="minorHAnsi" w:cstheme="minorBidi"/>
            <w:i w:val="0"/>
            <w:iCs w:val="0"/>
            <w:noProof/>
            <w:sz w:val="22"/>
            <w:szCs w:val="22"/>
            <w:lang w:eastAsia="fr-BE"/>
          </w:rPr>
          <w:tab/>
        </w:r>
        <w:r w:rsidRPr="00C47DA9">
          <w:rPr>
            <w:rStyle w:val="Lienhypertexte"/>
            <w:noProof/>
          </w:rPr>
          <w:t>Étape 4 – Broglio doit prouver…</w:t>
        </w:r>
        <w:r>
          <w:rPr>
            <w:noProof/>
            <w:webHidden/>
          </w:rPr>
          <w:tab/>
        </w:r>
        <w:r>
          <w:rPr>
            <w:noProof/>
            <w:webHidden/>
          </w:rPr>
          <w:fldChar w:fldCharType="begin"/>
        </w:r>
        <w:r>
          <w:rPr>
            <w:noProof/>
            <w:webHidden/>
          </w:rPr>
          <w:instrText xml:space="preserve"> PAGEREF _Toc482815693 \h </w:instrText>
        </w:r>
        <w:r>
          <w:rPr>
            <w:noProof/>
            <w:webHidden/>
          </w:rPr>
        </w:r>
        <w:r>
          <w:rPr>
            <w:noProof/>
            <w:webHidden/>
          </w:rPr>
          <w:fldChar w:fldCharType="separate"/>
        </w:r>
        <w:r>
          <w:rPr>
            <w:noProof/>
            <w:webHidden/>
          </w:rPr>
          <w:t>88</w:t>
        </w:r>
        <w:r>
          <w:rPr>
            <w:noProof/>
            <w:webHidden/>
          </w:rPr>
          <w:fldChar w:fldCharType="end"/>
        </w:r>
      </w:hyperlink>
    </w:p>
    <w:p w14:paraId="154D4B3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4" w:history="1">
        <w:r w:rsidRPr="00C47DA9">
          <w:rPr>
            <w:rStyle w:val="Lienhypertexte"/>
            <w:noProof/>
          </w:rPr>
          <w:t>6.10.5.</w:t>
        </w:r>
        <w:r>
          <w:rPr>
            <w:rFonts w:asciiTheme="minorHAnsi" w:eastAsiaTheme="minorEastAsia" w:hAnsiTheme="minorHAnsi" w:cstheme="minorBidi"/>
            <w:i w:val="0"/>
            <w:iCs w:val="0"/>
            <w:noProof/>
            <w:sz w:val="22"/>
            <w:szCs w:val="22"/>
            <w:lang w:eastAsia="fr-BE"/>
          </w:rPr>
          <w:tab/>
        </w:r>
        <w:r w:rsidRPr="00C47DA9">
          <w:rPr>
            <w:rStyle w:val="Lienhypertexte"/>
            <w:noProof/>
          </w:rPr>
          <w:t>Étape 5 – Négociation entre Broglio et Feldwald</w:t>
        </w:r>
        <w:r>
          <w:rPr>
            <w:noProof/>
            <w:webHidden/>
          </w:rPr>
          <w:tab/>
        </w:r>
        <w:r>
          <w:rPr>
            <w:noProof/>
            <w:webHidden/>
          </w:rPr>
          <w:fldChar w:fldCharType="begin"/>
        </w:r>
        <w:r>
          <w:rPr>
            <w:noProof/>
            <w:webHidden/>
          </w:rPr>
          <w:instrText xml:space="preserve"> PAGEREF _Toc482815694 \h </w:instrText>
        </w:r>
        <w:r>
          <w:rPr>
            <w:noProof/>
            <w:webHidden/>
          </w:rPr>
        </w:r>
        <w:r>
          <w:rPr>
            <w:noProof/>
            <w:webHidden/>
          </w:rPr>
          <w:fldChar w:fldCharType="separate"/>
        </w:r>
        <w:r>
          <w:rPr>
            <w:noProof/>
            <w:webHidden/>
          </w:rPr>
          <w:t>88</w:t>
        </w:r>
        <w:r>
          <w:rPr>
            <w:noProof/>
            <w:webHidden/>
          </w:rPr>
          <w:fldChar w:fldCharType="end"/>
        </w:r>
      </w:hyperlink>
    </w:p>
    <w:p w14:paraId="514B2883"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5" w:history="1">
        <w:r w:rsidRPr="00C47DA9">
          <w:rPr>
            <w:rStyle w:val="Lienhypertexte"/>
            <w:noProof/>
          </w:rPr>
          <w:t>6.10.6.</w:t>
        </w:r>
        <w:r>
          <w:rPr>
            <w:rFonts w:asciiTheme="minorHAnsi" w:eastAsiaTheme="minorEastAsia" w:hAnsiTheme="minorHAnsi" w:cstheme="minorBidi"/>
            <w:i w:val="0"/>
            <w:iCs w:val="0"/>
            <w:noProof/>
            <w:sz w:val="22"/>
            <w:szCs w:val="22"/>
            <w:lang w:eastAsia="fr-BE"/>
          </w:rPr>
          <w:tab/>
        </w:r>
        <w:r w:rsidRPr="00C47DA9">
          <w:rPr>
            <w:rStyle w:val="Lienhypertexte"/>
            <w:noProof/>
          </w:rPr>
          <w:t>Compléments d’explication</w:t>
        </w:r>
        <w:r>
          <w:rPr>
            <w:noProof/>
            <w:webHidden/>
          </w:rPr>
          <w:tab/>
        </w:r>
        <w:r>
          <w:rPr>
            <w:noProof/>
            <w:webHidden/>
          </w:rPr>
          <w:fldChar w:fldCharType="begin"/>
        </w:r>
        <w:r>
          <w:rPr>
            <w:noProof/>
            <w:webHidden/>
          </w:rPr>
          <w:instrText xml:space="preserve"> PAGEREF _Toc482815695 \h </w:instrText>
        </w:r>
        <w:r>
          <w:rPr>
            <w:noProof/>
            <w:webHidden/>
          </w:rPr>
        </w:r>
        <w:r>
          <w:rPr>
            <w:noProof/>
            <w:webHidden/>
          </w:rPr>
          <w:fldChar w:fldCharType="separate"/>
        </w:r>
        <w:r>
          <w:rPr>
            <w:noProof/>
            <w:webHidden/>
          </w:rPr>
          <w:t>89</w:t>
        </w:r>
        <w:r>
          <w:rPr>
            <w:noProof/>
            <w:webHidden/>
          </w:rPr>
          <w:fldChar w:fldCharType="end"/>
        </w:r>
      </w:hyperlink>
    </w:p>
    <w:p w14:paraId="4B5E17E2"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696" w:history="1">
        <w:r w:rsidRPr="00C47DA9">
          <w:rPr>
            <w:rStyle w:val="Lienhypertexte"/>
            <w:noProof/>
          </w:rPr>
          <w:t>7.</w:t>
        </w:r>
        <w:r>
          <w:rPr>
            <w:rFonts w:asciiTheme="minorHAnsi" w:eastAsiaTheme="minorEastAsia" w:hAnsiTheme="minorHAnsi" w:cstheme="minorBidi"/>
            <w:b w:val="0"/>
            <w:bCs w:val="0"/>
            <w:caps w:val="0"/>
            <w:noProof/>
            <w:sz w:val="22"/>
            <w:szCs w:val="22"/>
            <w:lang w:eastAsia="fr-BE"/>
          </w:rPr>
          <w:tab/>
        </w:r>
        <w:r w:rsidRPr="00C47DA9">
          <w:rPr>
            <w:rStyle w:val="Lienhypertexte"/>
            <w:noProof/>
          </w:rPr>
          <w:t>Loi sur la continuité des entreprises</w:t>
        </w:r>
        <w:r>
          <w:rPr>
            <w:noProof/>
            <w:webHidden/>
          </w:rPr>
          <w:tab/>
        </w:r>
        <w:r>
          <w:rPr>
            <w:noProof/>
            <w:webHidden/>
          </w:rPr>
          <w:fldChar w:fldCharType="begin"/>
        </w:r>
        <w:r>
          <w:rPr>
            <w:noProof/>
            <w:webHidden/>
          </w:rPr>
          <w:instrText xml:space="preserve"> PAGEREF _Toc482815696 \h </w:instrText>
        </w:r>
        <w:r>
          <w:rPr>
            <w:noProof/>
            <w:webHidden/>
          </w:rPr>
        </w:r>
        <w:r>
          <w:rPr>
            <w:noProof/>
            <w:webHidden/>
          </w:rPr>
          <w:fldChar w:fldCharType="separate"/>
        </w:r>
        <w:r>
          <w:rPr>
            <w:noProof/>
            <w:webHidden/>
          </w:rPr>
          <w:t>91</w:t>
        </w:r>
        <w:r>
          <w:rPr>
            <w:noProof/>
            <w:webHidden/>
          </w:rPr>
          <w:fldChar w:fldCharType="end"/>
        </w:r>
      </w:hyperlink>
    </w:p>
    <w:p w14:paraId="73C72153"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97" w:history="1">
        <w:r w:rsidRPr="00C47DA9">
          <w:rPr>
            <w:rStyle w:val="Lienhypertexte"/>
            <w:noProof/>
          </w:rPr>
          <w:t>7.1.</w:t>
        </w:r>
        <w:r>
          <w:rPr>
            <w:rFonts w:asciiTheme="minorHAnsi" w:eastAsiaTheme="minorEastAsia" w:hAnsiTheme="minorHAnsi" w:cstheme="minorBidi"/>
            <w:smallCaps w:val="0"/>
            <w:noProof/>
            <w:sz w:val="22"/>
            <w:szCs w:val="22"/>
            <w:lang w:eastAsia="fr-BE"/>
          </w:rPr>
          <w:tab/>
        </w:r>
        <w:r w:rsidRPr="00C47DA9">
          <w:rPr>
            <w:rStyle w:val="Lienhypertexte"/>
            <w:noProof/>
          </w:rPr>
          <w:t>Définitions</w:t>
        </w:r>
        <w:r>
          <w:rPr>
            <w:noProof/>
            <w:webHidden/>
          </w:rPr>
          <w:tab/>
        </w:r>
        <w:r>
          <w:rPr>
            <w:noProof/>
            <w:webHidden/>
          </w:rPr>
          <w:fldChar w:fldCharType="begin"/>
        </w:r>
        <w:r>
          <w:rPr>
            <w:noProof/>
            <w:webHidden/>
          </w:rPr>
          <w:instrText xml:space="preserve"> PAGEREF _Toc482815697 \h </w:instrText>
        </w:r>
        <w:r>
          <w:rPr>
            <w:noProof/>
            <w:webHidden/>
          </w:rPr>
        </w:r>
        <w:r>
          <w:rPr>
            <w:noProof/>
            <w:webHidden/>
          </w:rPr>
          <w:fldChar w:fldCharType="separate"/>
        </w:r>
        <w:r>
          <w:rPr>
            <w:noProof/>
            <w:webHidden/>
          </w:rPr>
          <w:t>92</w:t>
        </w:r>
        <w:r>
          <w:rPr>
            <w:noProof/>
            <w:webHidden/>
          </w:rPr>
          <w:fldChar w:fldCharType="end"/>
        </w:r>
      </w:hyperlink>
    </w:p>
    <w:p w14:paraId="3956606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698" w:history="1">
        <w:r w:rsidRPr="00C47DA9">
          <w:rPr>
            <w:rStyle w:val="Lienhypertexte"/>
            <w:noProof/>
          </w:rPr>
          <w:t>7.2.</w:t>
        </w:r>
        <w:r>
          <w:rPr>
            <w:rFonts w:asciiTheme="minorHAnsi" w:eastAsiaTheme="minorEastAsia" w:hAnsiTheme="minorHAnsi" w:cstheme="minorBidi"/>
            <w:smallCaps w:val="0"/>
            <w:noProof/>
            <w:sz w:val="22"/>
            <w:szCs w:val="22"/>
            <w:lang w:eastAsia="fr-BE"/>
          </w:rPr>
          <w:tab/>
        </w:r>
        <w:r w:rsidRPr="00C47DA9">
          <w:rPr>
            <w:rStyle w:val="Lienhypertexte"/>
            <w:noProof/>
          </w:rPr>
          <w:t>Résumé</w:t>
        </w:r>
        <w:r>
          <w:rPr>
            <w:noProof/>
            <w:webHidden/>
          </w:rPr>
          <w:tab/>
        </w:r>
        <w:r>
          <w:rPr>
            <w:noProof/>
            <w:webHidden/>
          </w:rPr>
          <w:fldChar w:fldCharType="begin"/>
        </w:r>
        <w:r>
          <w:rPr>
            <w:noProof/>
            <w:webHidden/>
          </w:rPr>
          <w:instrText xml:space="preserve"> PAGEREF _Toc482815698 \h </w:instrText>
        </w:r>
        <w:r>
          <w:rPr>
            <w:noProof/>
            <w:webHidden/>
          </w:rPr>
        </w:r>
        <w:r>
          <w:rPr>
            <w:noProof/>
            <w:webHidden/>
          </w:rPr>
          <w:fldChar w:fldCharType="separate"/>
        </w:r>
        <w:r>
          <w:rPr>
            <w:noProof/>
            <w:webHidden/>
          </w:rPr>
          <w:t>92</w:t>
        </w:r>
        <w:r>
          <w:rPr>
            <w:noProof/>
            <w:webHidden/>
          </w:rPr>
          <w:fldChar w:fldCharType="end"/>
        </w:r>
      </w:hyperlink>
    </w:p>
    <w:p w14:paraId="41BCC41B"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699" w:history="1">
        <w:r w:rsidRPr="00C47DA9">
          <w:rPr>
            <w:rStyle w:val="Lienhypertexte"/>
            <w:noProof/>
          </w:rPr>
          <w:t>7.2.1.</w:t>
        </w:r>
        <w:r>
          <w:rPr>
            <w:rFonts w:asciiTheme="minorHAnsi" w:eastAsiaTheme="minorEastAsia" w:hAnsiTheme="minorHAnsi" w:cstheme="minorBidi"/>
            <w:i w:val="0"/>
            <w:iCs w:val="0"/>
            <w:noProof/>
            <w:sz w:val="22"/>
            <w:szCs w:val="22"/>
            <w:lang w:eastAsia="fr-BE"/>
          </w:rPr>
          <w:tab/>
        </w:r>
        <w:r w:rsidRPr="00C47DA9">
          <w:rPr>
            <w:rStyle w:val="Lienhypertexte"/>
            <w:noProof/>
          </w:rPr>
          <w:t>Conditions d’application</w:t>
        </w:r>
        <w:r>
          <w:rPr>
            <w:noProof/>
            <w:webHidden/>
          </w:rPr>
          <w:tab/>
        </w:r>
        <w:r>
          <w:rPr>
            <w:noProof/>
            <w:webHidden/>
          </w:rPr>
          <w:fldChar w:fldCharType="begin"/>
        </w:r>
        <w:r>
          <w:rPr>
            <w:noProof/>
            <w:webHidden/>
          </w:rPr>
          <w:instrText xml:space="preserve"> PAGEREF _Toc482815699 \h </w:instrText>
        </w:r>
        <w:r>
          <w:rPr>
            <w:noProof/>
            <w:webHidden/>
          </w:rPr>
        </w:r>
        <w:r>
          <w:rPr>
            <w:noProof/>
            <w:webHidden/>
          </w:rPr>
          <w:fldChar w:fldCharType="separate"/>
        </w:r>
        <w:r>
          <w:rPr>
            <w:noProof/>
            <w:webHidden/>
          </w:rPr>
          <w:t>92</w:t>
        </w:r>
        <w:r>
          <w:rPr>
            <w:noProof/>
            <w:webHidden/>
          </w:rPr>
          <w:fldChar w:fldCharType="end"/>
        </w:r>
      </w:hyperlink>
    </w:p>
    <w:p w14:paraId="01BC093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0" w:history="1">
        <w:r w:rsidRPr="00C47DA9">
          <w:rPr>
            <w:rStyle w:val="Lienhypertexte"/>
            <w:noProof/>
          </w:rPr>
          <w:t>7.2.2.</w:t>
        </w:r>
        <w:r>
          <w:rPr>
            <w:rFonts w:asciiTheme="minorHAnsi" w:eastAsiaTheme="minorEastAsia" w:hAnsiTheme="minorHAnsi" w:cstheme="minorBidi"/>
            <w:i w:val="0"/>
            <w:iCs w:val="0"/>
            <w:noProof/>
            <w:sz w:val="22"/>
            <w:szCs w:val="22"/>
            <w:lang w:eastAsia="fr-BE"/>
          </w:rPr>
          <w:tab/>
        </w:r>
        <w:r w:rsidRPr="00C47DA9">
          <w:rPr>
            <w:rStyle w:val="Lienhypertexte"/>
            <w:noProof/>
          </w:rPr>
          <w:t>Néo-commercialité et innovations terminologiques</w:t>
        </w:r>
        <w:r>
          <w:rPr>
            <w:noProof/>
            <w:webHidden/>
          </w:rPr>
          <w:tab/>
        </w:r>
        <w:r>
          <w:rPr>
            <w:noProof/>
            <w:webHidden/>
          </w:rPr>
          <w:fldChar w:fldCharType="begin"/>
        </w:r>
        <w:r>
          <w:rPr>
            <w:noProof/>
            <w:webHidden/>
          </w:rPr>
          <w:instrText xml:space="preserve"> PAGEREF _Toc482815700 \h </w:instrText>
        </w:r>
        <w:r>
          <w:rPr>
            <w:noProof/>
            <w:webHidden/>
          </w:rPr>
        </w:r>
        <w:r>
          <w:rPr>
            <w:noProof/>
            <w:webHidden/>
          </w:rPr>
          <w:fldChar w:fldCharType="separate"/>
        </w:r>
        <w:r>
          <w:rPr>
            <w:noProof/>
            <w:webHidden/>
          </w:rPr>
          <w:t>92</w:t>
        </w:r>
        <w:r>
          <w:rPr>
            <w:noProof/>
            <w:webHidden/>
          </w:rPr>
          <w:fldChar w:fldCharType="end"/>
        </w:r>
      </w:hyperlink>
    </w:p>
    <w:p w14:paraId="25BB434D"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1" w:history="1">
        <w:r w:rsidRPr="00C47DA9">
          <w:rPr>
            <w:rStyle w:val="Lienhypertexte"/>
            <w:noProof/>
          </w:rPr>
          <w:t>7.2.3.</w:t>
        </w:r>
        <w:r>
          <w:rPr>
            <w:rFonts w:asciiTheme="minorHAnsi" w:eastAsiaTheme="minorEastAsia" w:hAnsiTheme="minorHAnsi" w:cstheme="minorBidi"/>
            <w:i w:val="0"/>
            <w:iCs w:val="0"/>
            <w:noProof/>
            <w:sz w:val="22"/>
            <w:szCs w:val="22"/>
            <w:lang w:eastAsia="fr-BE"/>
          </w:rPr>
          <w:tab/>
        </w:r>
        <w:r w:rsidRPr="00C47DA9">
          <w:rPr>
            <w:rStyle w:val="Lienhypertexte"/>
            <w:noProof/>
          </w:rPr>
          <w:t>L’accord amiable</w:t>
        </w:r>
        <w:r>
          <w:rPr>
            <w:noProof/>
            <w:webHidden/>
          </w:rPr>
          <w:tab/>
        </w:r>
        <w:r>
          <w:rPr>
            <w:noProof/>
            <w:webHidden/>
          </w:rPr>
          <w:fldChar w:fldCharType="begin"/>
        </w:r>
        <w:r>
          <w:rPr>
            <w:noProof/>
            <w:webHidden/>
          </w:rPr>
          <w:instrText xml:space="preserve"> PAGEREF _Toc482815701 \h </w:instrText>
        </w:r>
        <w:r>
          <w:rPr>
            <w:noProof/>
            <w:webHidden/>
          </w:rPr>
        </w:r>
        <w:r>
          <w:rPr>
            <w:noProof/>
            <w:webHidden/>
          </w:rPr>
          <w:fldChar w:fldCharType="separate"/>
        </w:r>
        <w:r>
          <w:rPr>
            <w:noProof/>
            <w:webHidden/>
          </w:rPr>
          <w:t>93</w:t>
        </w:r>
        <w:r>
          <w:rPr>
            <w:noProof/>
            <w:webHidden/>
          </w:rPr>
          <w:fldChar w:fldCharType="end"/>
        </w:r>
      </w:hyperlink>
    </w:p>
    <w:p w14:paraId="1C11A829"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2" w:history="1">
        <w:r w:rsidRPr="00C47DA9">
          <w:rPr>
            <w:rStyle w:val="Lienhypertexte"/>
            <w:noProof/>
          </w:rPr>
          <w:t>7.2.4.</w:t>
        </w:r>
        <w:r>
          <w:rPr>
            <w:rFonts w:asciiTheme="minorHAnsi" w:eastAsiaTheme="minorEastAsia" w:hAnsiTheme="minorHAnsi" w:cstheme="minorBidi"/>
            <w:i w:val="0"/>
            <w:iCs w:val="0"/>
            <w:noProof/>
            <w:sz w:val="22"/>
            <w:szCs w:val="22"/>
            <w:lang w:eastAsia="fr-BE"/>
          </w:rPr>
          <w:tab/>
        </w:r>
        <w:r w:rsidRPr="00C47DA9">
          <w:rPr>
            <w:rStyle w:val="Lienhypertexte"/>
            <w:noProof/>
          </w:rPr>
          <w:t>La réorganisation judiciaire</w:t>
        </w:r>
        <w:r>
          <w:rPr>
            <w:noProof/>
            <w:webHidden/>
          </w:rPr>
          <w:tab/>
        </w:r>
        <w:r>
          <w:rPr>
            <w:noProof/>
            <w:webHidden/>
          </w:rPr>
          <w:fldChar w:fldCharType="begin"/>
        </w:r>
        <w:r>
          <w:rPr>
            <w:noProof/>
            <w:webHidden/>
          </w:rPr>
          <w:instrText xml:space="preserve"> PAGEREF _Toc482815702 \h </w:instrText>
        </w:r>
        <w:r>
          <w:rPr>
            <w:noProof/>
            <w:webHidden/>
          </w:rPr>
        </w:r>
        <w:r>
          <w:rPr>
            <w:noProof/>
            <w:webHidden/>
          </w:rPr>
          <w:fldChar w:fldCharType="separate"/>
        </w:r>
        <w:r>
          <w:rPr>
            <w:noProof/>
            <w:webHidden/>
          </w:rPr>
          <w:t>93</w:t>
        </w:r>
        <w:r>
          <w:rPr>
            <w:noProof/>
            <w:webHidden/>
          </w:rPr>
          <w:fldChar w:fldCharType="end"/>
        </w:r>
      </w:hyperlink>
    </w:p>
    <w:p w14:paraId="6C6CE670"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3" w:history="1">
        <w:r w:rsidRPr="00C47DA9">
          <w:rPr>
            <w:rStyle w:val="Lienhypertexte"/>
            <w:noProof/>
          </w:rPr>
          <w:t>7.2.5.</w:t>
        </w:r>
        <w:r>
          <w:rPr>
            <w:rFonts w:asciiTheme="minorHAnsi" w:eastAsiaTheme="minorEastAsia" w:hAnsiTheme="minorHAnsi" w:cstheme="minorBidi"/>
            <w:i w:val="0"/>
            <w:iCs w:val="0"/>
            <w:noProof/>
            <w:sz w:val="22"/>
            <w:szCs w:val="22"/>
            <w:lang w:eastAsia="fr-BE"/>
          </w:rPr>
          <w:tab/>
        </w:r>
        <w:r w:rsidRPr="00C47DA9">
          <w:rPr>
            <w:rStyle w:val="Lienhypertexte"/>
            <w:noProof/>
          </w:rPr>
          <w:t>Trois grands types de réorganisations</w:t>
        </w:r>
        <w:r>
          <w:rPr>
            <w:noProof/>
            <w:webHidden/>
          </w:rPr>
          <w:tab/>
        </w:r>
        <w:r>
          <w:rPr>
            <w:noProof/>
            <w:webHidden/>
          </w:rPr>
          <w:fldChar w:fldCharType="begin"/>
        </w:r>
        <w:r>
          <w:rPr>
            <w:noProof/>
            <w:webHidden/>
          </w:rPr>
          <w:instrText xml:space="preserve"> PAGEREF _Toc482815703 \h </w:instrText>
        </w:r>
        <w:r>
          <w:rPr>
            <w:noProof/>
            <w:webHidden/>
          </w:rPr>
        </w:r>
        <w:r>
          <w:rPr>
            <w:noProof/>
            <w:webHidden/>
          </w:rPr>
          <w:fldChar w:fldCharType="separate"/>
        </w:r>
        <w:r>
          <w:rPr>
            <w:noProof/>
            <w:webHidden/>
          </w:rPr>
          <w:t>93</w:t>
        </w:r>
        <w:r>
          <w:rPr>
            <w:noProof/>
            <w:webHidden/>
          </w:rPr>
          <w:fldChar w:fldCharType="end"/>
        </w:r>
      </w:hyperlink>
    </w:p>
    <w:p w14:paraId="28D143B6"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4" w:history="1">
        <w:r w:rsidRPr="00C47DA9">
          <w:rPr>
            <w:rStyle w:val="Lienhypertexte"/>
            <w:noProof/>
          </w:rPr>
          <w:t>7.2.6.</w:t>
        </w:r>
        <w:r>
          <w:rPr>
            <w:rFonts w:asciiTheme="minorHAnsi" w:eastAsiaTheme="minorEastAsia" w:hAnsiTheme="minorHAnsi" w:cstheme="minorBidi"/>
            <w:i w:val="0"/>
            <w:iCs w:val="0"/>
            <w:noProof/>
            <w:sz w:val="22"/>
            <w:szCs w:val="22"/>
            <w:lang w:eastAsia="fr-BE"/>
          </w:rPr>
          <w:tab/>
        </w:r>
        <w:r w:rsidRPr="00C47DA9">
          <w:rPr>
            <w:rStyle w:val="Lienhypertexte"/>
            <w:noProof/>
          </w:rPr>
          <w:t>Des simplifications et une volonté de mettre fin aux controverses</w:t>
        </w:r>
        <w:r>
          <w:rPr>
            <w:noProof/>
            <w:webHidden/>
          </w:rPr>
          <w:tab/>
        </w:r>
        <w:r>
          <w:rPr>
            <w:noProof/>
            <w:webHidden/>
          </w:rPr>
          <w:fldChar w:fldCharType="begin"/>
        </w:r>
        <w:r>
          <w:rPr>
            <w:noProof/>
            <w:webHidden/>
          </w:rPr>
          <w:instrText xml:space="preserve"> PAGEREF _Toc482815704 \h </w:instrText>
        </w:r>
        <w:r>
          <w:rPr>
            <w:noProof/>
            <w:webHidden/>
          </w:rPr>
        </w:r>
        <w:r>
          <w:rPr>
            <w:noProof/>
            <w:webHidden/>
          </w:rPr>
          <w:fldChar w:fldCharType="separate"/>
        </w:r>
        <w:r>
          <w:rPr>
            <w:noProof/>
            <w:webHidden/>
          </w:rPr>
          <w:t>94</w:t>
        </w:r>
        <w:r>
          <w:rPr>
            <w:noProof/>
            <w:webHidden/>
          </w:rPr>
          <w:fldChar w:fldCharType="end"/>
        </w:r>
      </w:hyperlink>
    </w:p>
    <w:p w14:paraId="7F1F5BAE"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5" w:history="1">
        <w:r w:rsidRPr="00C47DA9">
          <w:rPr>
            <w:rStyle w:val="Lienhypertexte"/>
            <w:noProof/>
          </w:rPr>
          <w:t>7.2.7.</w:t>
        </w:r>
        <w:r>
          <w:rPr>
            <w:rFonts w:asciiTheme="minorHAnsi" w:eastAsiaTheme="minorEastAsia" w:hAnsiTheme="minorHAnsi" w:cstheme="minorBidi"/>
            <w:i w:val="0"/>
            <w:iCs w:val="0"/>
            <w:noProof/>
            <w:sz w:val="22"/>
            <w:szCs w:val="22"/>
            <w:lang w:eastAsia="fr-BE"/>
          </w:rPr>
          <w:tab/>
        </w:r>
        <w:r w:rsidRPr="00C47DA9">
          <w:rPr>
            <w:rStyle w:val="Lienhypertexte"/>
            <w:noProof/>
          </w:rPr>
          <w:t>Le transfert sous autorité de justice</w:t>
        </w:r>
        <w:r>
          <w:rPr>
            <w:noProof/>
            <w:webHidden/>
          </w:rPr>
          <w:tab/>
        </w:r>
        <w:r>
          <w:rPr>
            <w:noProof/>
            <w:webHidden/>
          </w:rPr>
          <w:fldChar w:fldCharType="begin"/>
        </w:r>
        <w:r>
          <w:rPr>
            <w:noProof/>
            <w:webHidden/>
          </w:rPr>
          <w:instrText xml:space="preserve"> PAGEREF _Toc482815705 \h </w:instrText>
        </w:r>
        <w:r>
          <w:rPr>
            <w:noProof/>
            <w:webHidden/>
          </w:rPr>
        </w:r>
        <w:r>
          <w:rPr>
            <w:noProof/>
            <w:webHidden/>
          </w:rPr>
          <w:fldChar w:fldCharType="separate"/>
        </w:r>
        <w:r>
          <w:rPr>
            <w:noProof/>
            <w:webHidden/>
          </w:rPr>
          <w:t>94</w:t>
        </w:r>
        <w:r>
          <w:rPr>
            <w:noProof/>
            <w:webHidden/>
          </w:rPr>
          <w:fldChar w:fldCharType="end"/>
        </w:r>
      </w:hyperlink>
    </w:p>
    <w:p w14:paraId="710D15BF"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6" w:history="1">
        <w:r w:rsidRPr="00C47DA9">
          <w:rPr>
            <w:rStyle w:val="Lienhypertexte"/>
            <w:noProof/>
          </w:rPr>
          <w:t>7.2.8.</w:t>
        </w:r>
        <w:r>
          <w:rPr>
            <w:rFonts w:asciiTheme="minorHAnsi" w:eastAsiaTheme="minorEastAsia" w:hAnsiTheme="minorHAnsi" w:cstheme="minorBidi"/>
            <w:i w:val="0"/>
            <w:iCs w:val="0"/>
            <w:noProof/>
            <w:sz w:val="22"/>
            <w:szCs w:val="22"/>
            <w:lang w:eastAsia="fr-BE"/>
          </w:rPr>
          <w:tab/>
        </w:r>
        <w:r w:rsidRPr="00C47DA9">
          <w:rPr>
            <w:rStyle w:val="Lienhypertexte"/>
            <w:noProof/>
          </w:rPr>
          <w:t>Conclusion : de nouveaux espoirs</w:t>
        </w:r>
        <w:r>
          <w:rPr>
            <w:noProof/>
            <w:webHidden/>
          </w:rPr>
          <w:tab/>
        </w:r>
        <w:r>
          <w:rPr>
            <w:noProof/>
            <w:webHidden/>
          </w:rPr>
          <w:fldChar w:fldCharType="begin"/>
        </w:r>
        <w:r>
          <w:rPr>
            <w:noProof/>
            <w:webHidden/>
          </w:rPr>
          <w:instrText xml:space="preserve"> PAGEREF _Toc482815706 \h </w:instrText>
        </w:r>
        <w:r>
          <w:rPr>
            <w:noProof/>
            <w:webHidden/>
          </w:rPr>
        </w:r>
        <w:r>
          <w:rPr>
            <w:noProof/>
            <w:webHidden/>
          </w:rPr>
          <w:fldChar w:fldCharType="separate"/>
        </w:r>
        <w:r>
          <w:rPr>
            <w:noProof/>
            <w:webHidden/>
          </w:rPr>
          <w:t>94</w:t>
        </w:r>
        <w:r>
          <w:rPr>
            <w:noProof/>
            <w:webHidden/>
          </w:rPr>
          <w:fldChar w:fldCharType="end"/>
        </w:r>
      </w:hyperlink>
    </w:p>
    <w:p w14:paraId="1E08440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07" w:history="1">
        <w:r w:rsidRPr="00C47DA9">
          <w:rPr>
            <w:rStyle w:val="Lienhypertexte"/>
            <w:noProof/>
          </w:rPr>
          <w:t>7.3.</w:t>
        </w:r>
        <w:r>
          <w:rPr>
            <w:rFonts w:asciiTheme="minorHAnsi" w:eastAsiaTheme="minorEastAsia" w:hAnsiTheme="minorHAnsi" w:cstheme="minorBidi"/>
            <w:smallCaps w:val="0"/>
            <w:noProof/>
            <w:sz w:val="22"/>
            <w:szCs w:val="22"/>
            <w:lang w:eastAsia="fr-BE"/>
          </w:rPr>
          <w:tab/>
        </w:r>
        <w:r w:rsidRPr="00C47DA9">
          <w:rPr>
            <w:rStyle w:val="Lienhypertexte"/>
            <w:noProof/>
          </w:rPr>
          <w:t>Loi sur la continuité de l'entreprise</w:t>
        </w:r>
        <w:r>
          <w:rPr>
            <w:noProof/>
            <w:webHidden/>
          </w:rPr>
          <w:tab/>
        </w:r>
        <w:r>
          <w:rPr>
            <w:noProof/>
            <w:webHidden/>
          </w:rPr>
          <w:fldChar w:fldCharType="begin"/>
        </w:r>
        <w:r>
          <w:rPr>
            <w:noProof/>
            <w:webHidden/>
          </w:rPr>
          <w:instrText xml:space="preserve"> PAGEREF _Toc482815707 \h </w:instrText>
        </w:r>
        <w:r>
          <w:rPr>
            <w:noProof/>
            <w:webHidden/>
          </w:rPr>
        </w:r>
        <w:r>
          <w:rPr>
            <w:noProof/>
            <w:webHidden/>
          </w:rPr>
          <w:fldChar w:fldCharType="separate"/>
        </w:r>
        <w:r>
          <w:rPr>
            <w:noProof/>
            <w:webHidden/>
          </w:rPr>
          <w:t>95</w:t>
        </w:r>
        <w:r>
          <w:rPr>
            <w:noProof/>
            <w:webHidden/>
          </w:rPr>
          <w:fldChar w:fldCharType="end"/>
        </w:r>
      </w:hyperlink>
    </w:p>
    <w:p w14:paraId="3E26ECA7"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8" w:history="1">
        <w:r w:rsidRPr="00C47DA9">
          <w:rPr>
            <w:rStyle w:val="Lienhypertexte"/>
            <w:noProof/>
          </w:rPr>
          <w:t>7.3.1.</w:t>
        </w:r>
        <w:r>
          <w:rPr>
            <w:rFonts w:asciiTheme="minorHAnsi" w:eastAsiaTheme="minorEastAsia" w:hAnsiTheme="minorHAnsi" w:cstheme="minorBidi"/>
            <w:i w:val="0"/>
            <w:iCs w:val="0"/>
            <w:noProof/>
            <w:sz w:val="22"/>
            <w:szCs w:val="22"/>
            <w:lang w:eastAsia="fr-BE"/>
          </w:rPr>
          <w:tab/>
        </w:r>
        <w:r w:rsidRPr="00C47DA9">
          <w:rPr>
            <w:rStyle w:val="Lienhypertexte"/>
            <w:noProof/>
          </w:rPr>
          <w:t>Dispositions générales</w:t>
        </w:r>
        <w:r>
          <w:rPr>
            <w:noProof/>
            <w:webHidden/>
          </w:rPr>
          <w:tab/>
        </w:r>
        <w:r>
          <w:rPr>
            <w:noProof/>
            <w:webHidden/>
          </w:rPr>
          <w:fldChar w:fldCharType="begin"/>
        </w:r>
        <w:r>
          <w:rPr>
            <w:noProof/>
            <w:webHidden/>
          </w:rPr>
          <w:instrText xml:space="preserve"> PAGEREF _Toc482815708 \h </w:instrText>
        </w:r>
        <w:r>
          <w:rPr>
            <w:noProof/>
            <w:webHidden/>
          </w:rPr>
        </w:r>
        <w:r>
          <w:rPr>
            <w:noProof/>
            <w:webHidden/>
          </w:rPr>
          <w:fldChar w:fldCharType="separate"/>
        </w:r>
        <w:r>
          <w:rPr>
            <w:noProof/>
            <w:webHidden/>
          </w:rPr>
          <w:t>95</w:t>
        </w:r>
        <w:r>
          <w:rPr>
            <w:noProof/>
            <w:webHidden/>
          </w:rPr>
          <w:fldChar w:fldCharType="end"/>
        </w:r>
      </w:hyperlink>
    </w:p>
    <w:p w14:paraId="7651A545"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09" w:history="1">
        <w:r w:rsidRPr="00C47DA9">
          <w:rPr>
            <w:rStyle w:val="Lienhypertexte"/>
            <w:noProof/>
          </w:rPr>
          <w:t>7.3.2.</w:t>
        </w:r>
        <w:r>
          <w:rPr>
            <w:rFonts w:asciiTheme="minorHAnsi" w:eastAsiaTheme="minorEastAsia" w:hAnsiTheme="minorHAnsi" w:cstheme="minorBidi"/>
            <w:i w:val="0"/>
            <w:iCs w:val="0"/>
            <w:noProof/>
            <w:sz w:val="22"/>
            <w:szCs w:val="22"/>
            <w:lang w:eastAsia="fr-BE"/>
          </w:rPr>
          <w:tab/>
        </w:r>
        <w:r w:rsidRPr="00C47DA9">
          <w:rPr>
            <w:rStyle w:val="Lienhypertexte"/>
            <w:noProof/>
          </w:rPr>
          <w:t>Collecte des données et enquêtes commerciales</w:t>
        </w:r>
        <w:r>
          <w:rPr>
            <w:noProof/>
            <w:webHidden/>
          </w:rPr>
          <w:tab/>
        </w:r>
        <w:r>
          <w:rPr>
            <w:noProof/>
            <w:webHidden/>
          </w:rPr>
          <w:fldChar w:fldCharType="begin"/>
        </w:r>
        <w:r>
          <w:rPr>
            <w:noProof/>
            <w:webHidden/>
          </w:rPr>
          <w:instrText xml:space="preserve"> PAGEREF _Toc482815709 \h </w:instrText>
        </w:r>
        <w:r>
          <w:rPr>
            <w:noProof/>
            <w:webHidden/>
          </w:rPr>
        </w:r>
        <w:r>
          <w:rPr>
            <w:noProof/>
            <w:webHidden/>
          </w:rPr>
          <w:fldChar w:fldCharType="separate"/>
        </w:r>
        <w:r>
          <w:rPr>
            <w:noProof/>
            <w:webHidden/>
          </w:rPr>
          <w:t>96</w:t>
        </w:r>
        <w:r>
          <w:rPr>
            <w:noProof/>
            <w:webHidden/>
          </w:rPr>
          <w:fldChar w:fldCharType="end"/>
        </w:r>
      </w:hyperlink>
    </w:p>
    <w:p w14:paraId="353E49C5"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10" w:history="1">
        <w:r w:rsidRPr="00C47DA9">
          <w:rPr>
            <w:rStyle w:val="Lienhypertexte"/>
            <w:noProof/>
          </w:rPr>
          <w:t>7.3.3.</w:t>
        </w:r>
        <w:r>
          <w:rPr>
            <w:rFonts w:asciiTheme="minorHAnsi" w:eastAsiaTheme="minorEastAsia" w:hAnsiTheme="minorHAnsi" w:cstheme="minorBidi"/>
            <w:i w:val="0"/>
            <w:iCs w:val="0"/>
            <w:noProof/>
            <w:sz w:val="22"/>
            <w:szCs w:val="22"/>
            <w:lang w:eastAsia="fr-BE"/>
          </w:rPr>
          <w:tab/>
        </w:r>
        <w:r w:rsidRPr="00C47DA9">
          <w:rPr>
            <w:rStyle w:val="Lienhypertexte"/>
            <w:noProof/>
          </w:rPr>
          <w:t>Accord amiable</w:t>
        </w:r>
        <w:r>
          <w:rPr>
            <w:noProof/>
            <w:webHidden/>
          </w:rPr>
          <w:tab/>
        </w:r>
        <w:r>
          <w:rPr>
            <w:noProof/>
            <w:webHidden/>
          </w:rPr>
          <w:fldChar w:fldCharType="begin"/>
        </w:r>
        <w:r>
          <w:rPr>
            <w:noProof/>
            <w:webHidden/>
          </w:rPr>
          <w:instrText xml:space="preserve"> PAGEREF _Toc482815710 \h </w:instrText>
        </w:r>
        <w:r>
          <w:rPr>
            <w:noProof/>
            <w:webHidden/>
          </w:rPr>
        </w:r>
        <w:r>
          <w:rPr>
            <w:noProof/>
            <w:webHidden/>
          </w:rPr>
          <w:fldChar w:fldCharType="separate"/>
        </w:r>
        <w:r>
          <w:rPr>
            <w:noProof/>
            <w:webHidden/>
          </w:rPr>
          <w:t>97</w:t>
        </w:r>
        <w:r>
          <w:rPr>
            <w:noProof/>
            <w:webHidden/>
          </w:rPr>
          <w:fldChar w:fldCharType="end"/>
        </w:r>
      </w:hyperlink>
    </w:p>
    <w:p w14:paraId="31A0CE3A" w14:textId="77777777" w:rsidR="00772723" w:rsidRDefault="00772723">
      <w:pPr>
        <w:pStyle w:val="TM3"/>
        <w:tabs>
          <w:tab w:val="left" w:pos="1200"/>
          <w:tab w:val="right" w:leader="dot" w:pos="9060"/>
        </w:tabs>
        <w:rPr>
          <w:rFonts w:asciiTheme="minorHAnsi" w:eastAsiaTheme="minorEastAsia" w:hAnsiTheme="minorHAnsi" w:cstheme="minorBidi"/>
          <w:i w:val="0"/>
          <w:iCs w:val="0"/>
          <w:noProof/>
          <w:sz w:val="22"/>
          <w:szCs w:val="22"/>
          <w:lang w:eastAsia="fr-BE"/>
        </w:rPr>
      </w:pPr>
      <w:hyperlink w:anchor="_Toc482815711" w:history="1">
        <w:r w:rsidRPr="00C47DA9">
          <w:rPr>
            <w:rStyle w:val="Lienhypertexte"/>
            <w:noProof/>
          </w:rPr>
          <w:t>7.3.4.</w:t>
        </w:r>
        <w:r>
          <w:rPr>
            <w:rFonts w:asciiTheme="minorHAnsi" w:eastAsiaTheme="minorEastAsia" w:hAnsiTheme="minorHAnsi" w:cstheme="minorBidi"/>
            <w:i w:val="0"/>
            <w:iCs w:val="0"/>
            <w:noProof/>
            <w:sz w:val="22"/>
            <w:szCs w:val="22"/>
            <w:lang w:eastAsia="fr-BE"/>
          </w:rPr>
          <w:tab/>
        </w:r>
        <w:r w:rsidRPr="00C47DA9">
          <w:rPr>
            <w:rStyle w:val="Lienhypertexte"/>
            <w:noProof/>
          </w:rPr>
          <w:t>Réorganisation judiciaire</w:t>
        </w:r>
        <w:r>
          <w:rPr>
            <w:noProof/>
            <w:webHidden/>
          </w:rPr>
          <w:tab/>
        </w:r>
        <w:r>
          <w:rPr>
            <w:noProof/>
            <w:webHidden/>
          </w:rPr>
          <w:fldChar w:fldCharType="begin"/>
        </w:r>
        <w:r>
          <w:rPr>
            <w:noProof/>
            <w:webHidden/>
          </w:rPr>
          <w:instrText xml:space="preserve"> PAGEREF _Toc482815711 \h </w:instrText>
        </w:r>
        <w:r>
          <w:rPr>
            <w:noProof/>
            <w:webHidden/>
          </w:rPr>
        </w:r>
        <w:r>
          <w:rPr>
            <w:noProof/>
            <w:webHidden/>
          </w:rPr>
          <w:fldChar w:fldCharType="separate"/>
        </w:r>
        <w:r>
          <w:rPr>
            <w:noProof/>
            <w:webHidden/>
          </w:rPr>
          <w:t>97</w:t>
        </w:r>
        <w:r>
          <w:rPr>
            <w:noProof/>
            <w:webHidden/>
          </w:rPr>
          <w:fldChar w:fldCharType="end"/>
        </w:r>
      </w:hyperlink>
    </w:p>
    <w:p w14:paraId="011461BD"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712" w:history="1">
        <w:r w:rsidRPr="00C47DA9">
          <w:rPr>
            <w:rStyle w:val="Lienhypertexte"/>
            <w:noProof/>
          </w:rPr>
          <w:t>8.</w:t>
        </w:r>
        <w:r>
          <w:rPr>
            <w:rFonts w:asciiTheme="minorHAnsi" w:eastAsiaTheme="minorEastAsia" w:hAnsiTheme="minorHAnsi" w:cstheme="minorBidi"/>
            <w:b w:val="0"/>
            <w:bCs w:val="0"/>
            <w:caps w:val="0"/>
            <w:noProof/>
            <w:sz w:val="22"/>
            <w:szCs w:val="22"/>
            <w:lang w:eastAsia="fr-BE"/>
          </w:rPr>
          <w:tab/>
        </w:r>
        <w:r w:rsidRPr="00C47DA9">
          <w:rPr>
            <w:rStyle w:val="Lienhypertexte"/>
            <w:noProof/>
          </w:rPr>
          <w:t>Loi sur les faillites</w:t>
        </w:r>
        <w:r>
          <w:rPr>
            <w:noProof/>
            <w:webHidden/>
          </w:rPr>
          <w:tab/>
        </w:r>
        <w:r>
          <w:rPr>
            <w:noProof/>
            <w:webHidden/>
          </w:rPr>
          <w:fldChar w:fldCharType="begin"/>
        </w:r>
        <w:r>
          <w:rPr>
            <w:noProof/>
            <w:webHidden/>
          </w:rPr>
          <w:instrText xml:space="preserve"> PAGEREF _Toc482815712 \h </w:instrText>
        </w:r>
        <w:r>
          <w:rPr>
            <w:noProof/>
            <w:webHidden/>
          </w:rPr>
        </w:r>
        <w:r>
          <w:rPr>
            <w:noProof/>
            <w:webHidden/>
          </w:rPr>
          <w:fldChar w:fldCharType="separate"/>
        </w:r>
        <w:r>
          <w:rPr>
            <w:noProof/>
            <w:webHidden/>
          </w:rPr>
          <w:t>102</w:t>
        </w:r>
        <w:r>
          <w:rPr>
            <w:noProof/>
            <w:webHidden/>
          </w:rPr>
          <w:fldChar w:fldCharType="end"/>
        </w:r>
      </w:hyperlink>
    </w:p>
    <w:p w14:paraId="05F63AE6"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3" w:history="1">
        <w:r w:rsidRPr="00C47DA9">
          <w:rPr>
            <w:rStyle w:val="Lienhypertexte"/>
            <w:noProof/>
          </w:rPr>
          <w:t>8.1.</w:t>
        </w:r>
        <w:r>
          <w:rPr>
            <w:rFonts w:asciiTheme="minorHAnsi" w:eastAsiaTheme="minorEastAsia" w:hAnsiTheme="minorHAnsi" w:cstheme="minorBidi"/>
            <w:smallCaps w:val="0"/>
            <w:noProof/>
            <w:sz w:val="22"/>
            <w:szCs w:val="22"/>
            <w:lang w:eastAsia="fr-BE"/>
          </w:rPr>
          <w:tab/>
        </w:r>
        <w:r w:rsidRPr="00C47DA9">
          <w:rPr>
            <w:rStyle w:val="Lienhypertexte"/>
            <w:noProof/>
          </w:rPr>
          <w:t>Dispositions générales</w:t>
        </w:r>
        <w:r>
          <w:rPr>
            <w:noProof/>
            <w:webHidden/>
          </w:rPr>
          <w:tab/>
        </w:r>
        <w:r>
          <w:rPr>
            <w:noProof/>
            <w:webHidden/>
          </w:rPr>
          <w:fldChar w:fldCharType="begin"/>
        </w:r>
        <w:r>
          <w:rPr>
            <w:noProof/>
            <w:webHidden/>
          </w:rPr>
          <w:instrText xml:space="preserve"> PAGEREF _Toc482815713 \h </w:instrText>
        </w:r>
        <w:r>
          <w:rPr>
            <w:noProof/>
            <w:webHidden/>
          </w:rPr>
        </w:r>
        <w:r>
          <w:rPr>
            <w:noProof/>
            <w:webHidden/>
          </w:rPr>
          <w:fldChar w:fldCharType="separate"/>
        </w:r>
        <w:r>
          <w:rPr>
            <w:noProof/>
            <w:webHidden/>
          </w:rPr>
          <w:t>103</w:t>
        </w:r>
        <w:r>
          <w:rPr>
            <w:noProof/>
            <w:webHidden/>
          </w:rPr>
          <w:fldChar w:fldCharType="end"/>
        </w:r>
      </w:hyperlink>
    </w:p>
    <w:p w14:paraId="523E359D"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4" w:history="1">
        <w:r w:rsidRPr="00C47DA9">
          <w:rPr>
            <w:rStyle w:val="Lienhypertexte"/>
            <w:noProof/>
          </w:rPr>
          <w:t>8.2.</w:t>
        </w:r>
        <w:r>
          <w:rPr>
            <w:rFonts w:asciiTheme="minorHAnsi" w:eastAsiaTheme="minorEastAsia" w:hAnsiTheme="minorHAnsi" w:cstheme="minorBidi"/>
            <w:smallCaps w:val="0"/>
            <w:noProof/>
            <w:sz w:val="22"/>
            <w:szCs w:val="22"/>
            <w:lang w:eastAsia="fr-BE"/>
          </w:rPr>
          <w:tab/>
        </w:r>
        <w:r w:rsidRPr="00C47DA9">
          <w:rPr>
            <w:rStyle w:val="Lienhypertexte"/>
            <w:noProof/>
          </w:rPr>
          <w:t>De l'aveu, de la déclaration de faillite et de la cessation de paiement</w:t>
        </w:r>
        <w:r>
          <w:rPr>
            <w:noProof/>
            <w:webHidden/>
          </w:rPr>
          <w:tab/>
        </w:r>
        <w:r>
          <w:rPr>
            <w:noProof/>
            <w:webHidden/>
          </w:rPr>
          <w:fldChar w:fldCharType="begin"/>
        </w:r>
        <w:r>
          <w:rPr>
            <w:noProof/>
            <w:webHidden/>
          </w:rPr>
          <w:instrText xml:space="preserve"> PAGEREF _Toc482815714 \h </w:instrText>
        </w:r>
        <w:r>
          <w:rPr>
            <w:noProof/>
            <w:webHidden/>
          </w:rPr>
        </w:r>
        <w:r>
          <w:rPr>
            <w:noProof/>
            <w:webHidden/>
          </w:rPr>
          <w:fldChar w:fldCharType="separate"/>
        </w:r>
        <w:r>
          <w:rPr>
            <w:noProof/>
            <w:webHidden/>
          </w:rPr>
          <w:t>103</w:t>
        </w:r>
        <w:r>
          <w:rPr>
            <w:noProof/>
            <w:webHidden/>
          </w:rPr>
          <w:fldChar w:fldCharType="end"/>
        </w:r>
      </w:hyperlink>
    </w:p>
    <w:p w14:paraId="379BA5E2"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5" w:history="1">
        <w:r w:rsidRPr="00C47DA9">
          <w:rPr>
            <w:rStyle w:val="Lienhypertexte"/>
            <w:noProof/>
          </w:rPr>
          <w:t>8.3.</w:t>
        </w:r>
        <w:r>
          <w:rPr>
            <w:rFonts w:asciiTheme="minorHAnsi" w:eastAsiaTheme="minorEastAsia" w:hAnsiTheme="minorHAnsi" w:cstheme="minorBidi"/>
            <w:smallCaps w:val="0"/>
            <w:noProof/>
            <w:sz w:val="22"/>
            <w:szCs w:val="22"/>
            <w:lang w:eastAsia="fr-BE"/>
          </w:rPr>
          <w:tab/>
        </w:r>
        <w:r w:rsidRPr="00C47DA9">
          <w:rPr>
            <w:rStyle w:val="Lienhypertexte"/>
            <w:noProof/>
          </w:rPr>
          <w:t>Des effets de la faillite</w:t>
        </w:r>
        <w:r>
          <w:rPr>
            <w:noProof/>
            <w:webHidden/>
          </w:rPr>
          <w:tab/>
        </w:r>
        <w:r>
          <w:rPr>
            <w:noProof/>
            <w:webHidden/>
          </w:rPr>
          <w:fldChar w:fldCharType="begin"/>
        </w:r>
        <w:r>
          <w:rPr>
            <w:noProof/>
            <w:webHidden/>
          </w:rPr>
          <w:instrText xml:space="preserve"> PAGEREF _Toc482815715 \h </w:instrText>
        </w:r>
        <w:r>
          <w:rPr>
            <w:noProof/>
            <w:webHidden/>
          </w:rPr>
        </w:r>
        <w:r>
          <w:rPr>
            <w:noProof/>
            <w:webHidden/>
          </w:rPr>
          <w:fldChar w:fldCharType="separate"/>
        </w:r>
        <w:r>
          <w:rPr>
            <w:noProof/>
            <w:webHidden/>
          </w:rPr>
          <w:t>104</w:t>
        </w:r>
        <w:r>
          <w:rPr>
            <w:noProof/>
            <w:webHidden/>
          </w:rPr>
          <w:fldChar w:fldCharType="end"/>
        </w:r>
      </w:hyperlink>
    </w:p>
    <w:p w14:paraId="6937A92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6" w:history="1">
        <w:r w:rsidRPr="00C47DA9">
          <w:rPr>
            <w:rStyle w:val="Lienhypertexte"/>
            <w:noProof/>
          </w:rPr>
          <w:t>8.4.</w:t>
        </w:r>
        <w:r>
          <w:rPr>
            <w:rFonts w:asciiTheme="minorHAnsi" w:eastAsiaTheme="minorEastAsia" w:hAnsiTheme="minorHAnsi" w:cstheme="minorBidi"/>
            <w:smallCaps w:val="0"/>
            <w:noProof/>
            <w:sz w:val="22"/>
            <w:szCs w:val="22"/>
            <w:lang w:eastAsia="fr-BE"/>
          </w:rPr>
          <w:tab/>
        </w:r>
        <w:r w:rsidRPr="00C47DA9">
          <w:rPr>
            <w:rStyle w:val="Lienhypertexte"/>
            <w:noProof/>
          </w:rPr>
          <w:t>De l'administration et de la liquidation de la faillite</w:t>
        </w:r>
        <w:r>
          <w:rPr>
            <w:noProof/>
            <w:webHidden/>
          </w:rPr>
          <w:tab/>
        </w:r>
        <w:r>
          <w:rPr>
            <w:noProof/>
            <w:webHidden/>
          </w:rPr>
          <w:fldChar w:fldCharType="begin"/>
        </w:r>
        <w:r>
          <w:rPr>
            <w:noProof/>
            <w:webHidden/>
          </w:rPr>
          <w:instrText xml:space="preserve"> PAGEREF _Toc482815716 \h </w:instrText>
        </w:r>
        <w:r>
          <w:rPr>
            <w:noProof/>
            <w:webHidden/>
          </w:rPr>
        </w:r>
        <w:r>
          <w:rPr>
            <w:noProof/>
            <w:webHidden/>
          </w:rPr>
          <w:fldChar w:fldCharType="separate"/>
        </w:r>
        <w:r>
          <w:rPr>
            <w:noProof/>
            <w:webHidden/>
          </w:rPr>
          <w:t>105</w:t>
        </w:r>
        <w:r>
          <w:rPr>
            <w:noProof/>
            <w:webHidden/>
          </w:rPr>
          <w:fldChar w:fldCharType="end"/>
        </w:r>
      </w:hyperlink>
    </w:p>
    <w:p w14:paraId="176196D6"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7" w:history="1">
        <w:r w:rsidRPr="00C47DA9">
          <w:rPr>
            <w:rStyle w:val="Lienhypertexte"/>
            <w:noProof/>
          </w:rPr>
          <w:t>8.5.</w:t>
        </w:r>
        <w:r>
          <w:rPr>
            <w:rFonts w:asciiTheme="minorHAnsi" w:eastAsiaTheme="minorEastAsia" w:hAnsiTheme="minorHAnsi" w:cstheme="minorBidi"/>
            <w:smallCaps w:val="0"/>
            <w:noProof/>
            <w:sz w:val="22"/>
            <w:szCs w:val="22"/>
            <w:lang w:eastAsia="fr-BE"/>
          </w:rPr>
          <w:tab/>
        </w:r>
        <w:r w:rsidRPr="00C47DA9">
          <w:rPr>
            <w:rStyle w:val="Lienhypertexte"/>
            <w:noProof/>
          </w:rPr>
          <w:t>De la déclaration et de la vérification des créances</w:t>
        </w:r>
        <w:r>
          <w:rPr>
            <w:noProof/>
            <w:webHidden/>
          </w:rPr>
          <w:tab/>
        </w:r>
        <w:r>
          <w:rPr>
            <w:noProof/>
            <w:webHidden/>
          </w:rPr>
          <w:fldChar w:fldCharType="begin"/>
        </w:r>
        <w:r>
          <w:rPr>
            <w:noProof/>
            <w:webHidden/>
          </w:rPr>
          <w:instrText xml:space="preserve"> PAGEREF _Toc482815717 \h </w:instrText>
        </w:r>
        <w:r>
          <w:rPr>
            <w:noProof/>
            <w:webHidden/>
          </w:rPr>
        </w:r>
        <w:r>
          <w:rPr>
            <w:noProof/>
            <w:webHidden/>
          </w:rPr>
          <w:fldChar w:fldCharType="separate"/>
        </w:r>
        <w:r>
          <w:rPr>
            <w:noProof/>
            <w:webHidden/>
          </w:rPr>
          <w:t>107</w:t>
        </w:r>
        <w:r>
          <w:rPr>
            <w:noProof/>
            <w:webHidden/>
          </w:rPr>
          <w:fldChar w:fldCharType="end"/>
        </w:r>
      </w:hyperlink>
    </w:p>
    <w:p w14:paraId="15E45CC5"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8" w:history="1">
        <w:r w:rsidRPr="00C47DA9">
          <w:rPr>
            <w:rStyle w:val="Lienhypertexte"/>
            <w:noProof/>
          </w:rPr>
          <w:t>8.6.</w:t>
        </w:r>
        <w:r>
          <w:rPr>
            <w:rFonts w:asciiTheme="minorHAnsi" w:eastAsiaTheme="minorEastAsia" w:hAnsiTheme="minorHAnsi" w:cstheme="minorBidi"/>
            <w:smallCaps w:val="0"/>
            <w:noProof/>
            <w:sz w:val="22"/>
            <w:szCs w:val="22"/>
            <w:lang w:eastAsia="fr-BE"/>
          </w:rPr>
          <w:tab/>
        </w:r>
        <w:r w:rsidRPr="00C47DA9">
          <w:rPr>
            <w:rStyle w:val="Lienhypertexte"/>
            <w:noProof/>
          </w:rPr>
          <w:t>De la procédure sommaire de clôture</w:t>
        </w:r>
        <w:r>
          <w:rPr>
            <w:noProof/>
            <w:webHidden/>
          </w:rPr>
          <w:tab/>
        </w:r>
        <w:r>
          <w:rPr>
            <w:noProof/>
            <w:webHidden/>
          </w:rPr>
          <w:fldChar w:fldCharType="begin"/>
        </w:r>
        <w:r>
          <w:rPr>
            <w:noProof/>
            <w:webHidden/>
          </w:rPr>
          <w:instrText xml:space="preserve"> PAGEREF _Toc482815718 \h </w:instrText>
        </w:r>
        <w:r>
          <w:rPr>
            <w:noProof/>
            <w:webHidden/>
          </w:rPr>
        </w:r>
        <w:r>
          <w:rPr>
            <w:noProof/>
            <w:webHidden/>
          </w:rPr>
          <w:fldChar w:fldCharType="separate"/>
        </w:r>
        <w:r>
          <w:rPr>
            <w:noProof/>
            <w:webHidden/>
          </w:rPr>
          <w:t>108</w:t>
        </w:r>
        <w:r>
          <w:rPr>
            <w:noProof/>
            <w:webHidden/>
          </w:rPr>
          <w:fldChar w:fldCharType="end"/>
        </w:r>
      </w:hyperlink>
    </w:p>
    <w:p w14:paraId="74C7C0EA" w14:textId="77777777" w:rsidR="00772723" w:rsidRDefault="00772723">
      <w:pPr>
        <w:pStyle w:val="TM2"/>
        <w:tabs>
          <w:tab w:val="left" w:pos="800"/>
          <w:tab w:val="right" w:leader="dot" w:pos="9060"/>
        </w:tabs>
        <w:rPr>
          <w:rFonts w:asciiTheme="minorHAnsi" w:eastAsiaTheme="minorEastAsia" w:hAnsiTheme="minorHAnsi" w:cstheme="minorBidi"/>
          <w:smallCaps w:val="0"/>
          <w:noProof/>
          <w:sz w:val="22"/>
          <w:szCs w:val="22"/>
          <w:lang w:eastAsia="fr-BE"/>
        </w:rPr>
      </w:pPr>
      <w:hyperlink w:anchor="_Toc482815719" w:history="1">
        <w:r w:rsidRPr="00C47DA9">
          <w:rPr>
            <w:rStyle w:val="Lienhypertexte"/>
            <w:noProof/>
          </w:rPr>
          <w:t>8.7.</w:t>
        </w:r>
        <w:r>
          <w:rPr>
            <w:rFonts w:asciiTheme="minorHAnsi" w:eastAsiaTheme="minorEastAsia" w:hAnsiTheme="minorHAnsi" w:cstheme="minorBidi"/>
            <w:smallCaps w:val="0"/>
            <w:noProof/>
            <w:sz w:val="22"/>
            <w:szCs w:val="22"/>
            <w:lang w:eastAsia="fr-BE"/>
          </w:rPr>
          <w:tab/>
        </w:r>
        <w:r w:rsidRPr="00C47DA9">
          <w:rPr>
            <w:rStyle w:val="Lienhypertexte"/>
            <w:noProof/>
          </w:rPr>
          <w:t>De la liquidation de la faillite</w:t>
        </w:r>
        <w:r>
          <w:rPr>
            <w:noProof/>
            <w:webHidden/>
          </w:rPr>
          <w:tab/>
        </w:r>
        <w:r>
          <w:rPr>
            <w:noProof/>
            <w:webHidden/>
          </w:rPr>
          <w:fldChar w:fldCharType="begin"/>
        </w:r>
        <w:r>
          <w:rPr>
            <w:noProof/>
            <w:webHidden/>
          </w:rPr>
          <w:instrText xml:space="preserve"> PAGEREF _Toc482815719 \h </w:instrText>
        </w:r>
        <w:r>
          <w:rPr>
            <w:noProof/>
            <w:webHidden/>
          </w:rPr>
        </w:r>
        <w:r>
          <w:rPr>
            <w:noProof/>
            <w:webHidden/>
          </w:rPr>
          <w:fldChar w:fldCharType="separate"/>
        </w:r>
        <w:r>
          <w:rPr>
            <w:noProof/>
            <w:webHidden/>
          </w:rPr>
          <w:t>109</w:t>
        </w:r>
        <w:r>
          <w:rPr>
            <w:noProof/>
            <w:webHidden/>
          </w:rPr>
          <w:fldChar w:fldCharType="end"/>
        </w:r>
      </w:hyperlink>
    </w:p>
    <w:p w14:paraId="2E40B88F" w14:textId="77777777" w:rsidR="00772723" w:rsidRDefault="00772723">
      <w:pPr>
        <w:pStyle w:val="TM1"/>
        <w:tabs>
          <w:tab w:val="left" w:pos="400"/>
          <w:tab w:val="right" w:leader="dot" w:pos="9060"/>
        </w:tabs>
        <w:rPr>
          <w:rFonts w:asciiTheme="minorHAnsi" w:eastAsiaTheme="minorEastAsia" w:hAnsiTheme="minorHAnsi" w:cstheme="minorBidi"/>
          <w:b w:val="0"/>
          <w:bCs w:val="0"/>
          <w:caps w:val="0"/>
          <w:noProof/>
          <w:sz w:val="22"/>
          <w:szCs w:val="22"/>
          <w:lang w:eastAsia="fr-BE"/>
        </w:rPr>
      </w:pPr>
      <w:hyperlink w:anchor="_Toc482815720" w:history="1">
        <w:r w:rsidRPr="00C47DA9">
          <w:rPr>
            <w:rStyle w:val="Lienhypertexte"/>
            <w:noProof/>
          </w:rPr>
          <w:t>9.</w:t>
        </w:r>
        <w:r>
          <w:rPr>
            <w:rFonts w:asciiTheme="minorHAnsi" w:eastAsiaTheme="minorEastAsia" w:hAnsiTheme="minorHAnsi" w:cstheme="minorBidi"/>
            <w:b w:val="0"/>
            <w:bCs w:val="0"/>
            <w:caps w:val="0"/>
            <w:noProof/>
            <w:sz w:val="22"/>
            <w:szCs w:val="22"/>
            <w:lang w:eastAsia="fr-BE"/>
          </w:rPr>
          <w:tab/>
        </w:r>
        <w:r w:rsidRPr="00C47DA9">
          <w:rPr>
            <w:rStyle w:val="Lienhypertexte"/>
            <w:noProof/>
          </w:rPr>
          <w:t>Bibliographie</w:t>
        </w:r>
        <w:r>
          <w:rPr>
            <w:noProof/>
            <w:webHidden/>
          </w:rPr>
          <w:tab/>
        </w:r>
        <w:r>
          <w:rPr>
            <w:noProof/>
            <w:webHidden/>
          </w:rPr>
          <w:fldChar w:fldCharType="begin"/>
        </w:r>
        <w:r>
          <w:rPr>
            <w:noProof/>
            <w:webHidden/>
          </w:rPr>
          <w:instrText xml:space="preserve"> PAGEREF _Toc482815720 \h </w:instrText>
        </w:r>
        <w:r>
          <w:rPr>
            <w:noProof/>
            <w:webHidden/>
          </w:rPr>
        </w:r>
        <w:r>
          <w:rPr>
            <w:noProof/>
            <w:webHidden/>
          </w:rPr>
          <w:fldChar w:fldCharType="separate"/>
        </w:r>
        <w:r>
          <w:rPr>
            <w:noProof/>
            <w:webHidden/>
          </w:rPr>
          <w:t>110</w:t>
        </w:r>
        <w:r>
          <w:rPr>
            <w:noProof/>
            <w:webHidden/>
          </w:rPr>
          <w:fldChar w:fldCharType="end"/>
        </w:r>
      </w:hyperlink>
    </w:p>
    <w:p w14:paraId="0693B3B9" w14:textId="0CD65F32" w:rsidR="00CD2C11" w:rsidRPr="007B628D" w:rsidRDefault="0041495B" w:rsidP="00CD2C11">
      <w:r>
        <w:fldChar w:fldCharType="end"/>
      </w:r>
    </w:p>
    <w:p w14:paraId="0693B3BA" w14:textId="77777777" w:rsidR="00CD2C11" w:rsidRDefault="00CD2C11" w:rsidP="00266865">
      <w:pPr>
        <w:pStyle w:val="Titre1"/>
      </w:pPr>
      <w:bookmarkStart w:id="1" w:name="_Toc482815548"/>
      <w:r>
        <w:lastRenderedPageBreak/>
        <w:t>Introduction</w:t>
      </w:r>
      <w:r>
        <w:rPr>
          <w:rStyle w:val="Appelnotedebasdep"/>
          <w:szCs w:val="22"/>
        </w:rPr>
        <w:footnoteReference w:id="1"/>
      </w:r>
      <w:bookmarkEnd w:id="1"/>
    </w:p>
    <w:p w14:paraId="61280BF4" w14:textId="585F7757" w:rsidR="00772723" w:rsidRDefault="00772723">
      <w:r>
        <w:br w:type="page"/>
      </w:r>
    </w:p>
    <w:p w14:paraId="0693B3BB" w14:textId="77777777" w:rsidR="00CD2C11" w:rsidRDefault="00CD2C11" w:rsidP="00105A84">
      <w:pPr>
        <w:pStyle w:val="Titre2"/>
      </w:pPr>
      <w:bookmarkStart w:id="4" w:name="_Toc482815549"/>
      <w:r>
        <w:lastRenderedPageBreak/>
        <w:t>Finalités de l’unité de formation</w:t>
      </w:r>
      <w:bookmarkEnd w:id="4"/>
    </w:p>
    <w:p w14:paraId="0693B3BC" w14:textId="77777777" w:rsidR="00CD2C11" w:rsidRDefault="00CD2C11" w:rsidP="00C25C8C">
      <w:pPr>
        <w:pStyle w:val="Titre3"/>
        <w:numPr>
          <w:ilvl w:val="2"/>
          <w:numId w:val="1"/>
        </w:numPr>
      </w:pPr>
      <w:bookmarkStart w:id="5" w:name="_Toc482815550"/>
      <w:r>
        <w:t>Finalités générales</w:t>
      </w:r>
      <w:bookmarkEnd w:id="5"/>
    </w:p>
    <w:p w14:paraId="0693B3BD" w14:textId="77777777" w:rsidR="00D15753" w:rsidRDefault="00D15753" w:rsidP="00D15753">
      <w:pPr>
        <w:jc w:val="both"/>
      </w:pPr>
      <w:r>
        <w:t>Conformément à l’article 7 du décret de la Communauté française du 16 avril 1991 organisant l'enseignement de promotion sociale, cette unité de formation doit :</w:t>
      </w:r>
    </w:p>
    <w:p w14:paraId="0693B3BE" w14:textId="77777777" w:rsidR="00D15753" w:rsidRDefault="00D15753" w:rsidP="00C25C8C">
      <w:pPr>
        <w:numPr>
          <w:ilvl w:val="0"/>
          <w:numId w:val="3"/>
        </w:numPr>
        <w:tabs>
          <w:tab w:val="clear" w:pos="170"/>
          <w:tab w:val="num" w:pos="360"/>
        </w:tabs>
        <w:spacing w:before="100"/>
        <w:ind w:left="360" w:hanging="360"/>
        <w:jc w:val="both"/>
      </w:pPr>
      <w:r>
        <w:t>concourir à l’épanouissement individuel en promouvant une meilleure insertion professionnelle, sociale, culturelle et scolaire ;</w:t>
      </w:r>
    </w:p>
    <w:p w14:paraId="0693B3BF" w14:textId="77777777" w:rsidR="00CD2C11" w:rsidRDefault="00D15753" w:rsidP="00C25C8C">
      <w:pPr>
        <w:numPr>
          <w:ilvl w:val="0"/>
          <w:numId w:val="3"/>
        </w:numPr>
        <w:tabs>
          <w:tab w:val="clear" w:pos="170"/>
          <w:tab w:val="num" w:pos="360"/>
        </w:tabs>
        <w:ind w:left="357" w:hanging="357"/>
        <w:jc w:val="both"/>
      </w:pPr>
      <w:r>
        <w:t>répondre aux besoins et demandes en formation émanant des entreprises, des administrations, de l’enseignement et d’une manière générale des milieux socio-économiques et culturels.</w:t>
      </w:r>
    </w:p>
    <w:p w14:paraId="0693B3C0" w14:textId="77777777" w:rsidR="00CD2C11" w:rsidRDefault="00CD2C11" w:rsidP="00C25C8C">
      <w:pPr>
        <w:pStyle w:val="Titre3"/>
        <w:numPr>
          <w:ilvl w:val="2"/>
          <w:numId w:val="1"/>
        </w:numPr>
      </w:pPr>
      <w:bookmarkStart w:id="6" w:name="_Toc482815551"/>
      <w:r>
        <w:t>Finalités particulières</w:t>
      </w:r>
      <w:bookmarkEnd w:id="6"/>
    </w:p>
    <w:p w14:paraId="0693B3C1" w14:textId="77777777" w:rsidR="00CD2C11" w:rsidRDefault="00CD2C11" w:rsidP="00CD2C11">
      <w:pPr>
        <w:jc w:val="both"/>
      </w:pPr>
      <w:r>
        <w:t>L’unité de formation vise à permettre à l’étudiant :</w:t>
      </w:r>
    </w:p>
    <w:p w14:paraId="0693B3C2" w14:textId="77777777" w:rsidR="00D15753" w:rsidRDefault="00D15753" w:rsidP="00C25C8C">
      <w:pPr>
        <w:numPr>
          <w:ilvl w:val="0"/>
          <w:numId w:val="3"/>
        </w:numPr>
        <w:tabs>
          <w:tab w:val="clear" w:pos="170"/>
          <w:tab w:val="num" w:pos="360"/>
        </w:tabs>
        <w:spacing w:before="100"/>
        <w:ind w:left="360" w:hanging="360"/>
        <w:jc w:val="both"/>
      </w:pPr>
      <w:r>
        <w:t>de maîtriser la législation relative aux commerçants, à leurs obligations, aux actes de commerce et au fonds de commerce ;</w:t>
      </w:r>
    </w:p>
    <w:p w14:paraId="0693B3C3" w14:textId="77777777" w:rsidR="00D15753" w:rsidRDefault="00D15753" w:rsidP="00C25C8C">
      <w:pPr>
        <w:numPr>
          <w:ilvl w:val="0"/>
          <w:numId w:val="3"/>
        </w:numPr>
        <w:tabs>
          <w:tab w:val="clear" w:pos="170"/>
          <w:tab w:val="num" w:pos="360"/>
        </w:tabs>
        <w:ind w:left="357" w:hanging="357"/>
        <w:jc w:val="both"/>
      </w:pPr>
      <w:r>
        <w:t>de s’approprier les bases légales relatives aux moyens de paiement spécifiques ;</w:t>
      </w:r>
    </w:p>
    <w:p w14:paraId="0693B3C4" w14:textId="77777777" w:rsidR="00D15753" w:rsidRDefault="00D15753" w:rsidP="00C25C8C">
      <w:pPr>
        <w:numPr>
          <w:ilvl w:val="0"/>
          <w:numId w:val="3"/>
        </w:numPr>
        <w:tabs>
          <w:tab w:val="clear" w:pos="170"/>
          <w:tab w:val="num" w:pos="360"/>
        </w:tabs>
        <w:ind w:left="357" w:hanging="357"/>
        <w:jc w:val="both"/>
      </w:pPr>
      <w:r>
        <w:t>d’analyser et de résoudre des problèmes juridiques relatifs aux pratiques de commerce et à la protection du consommateur ;</w:t>
      </w:r>
    </w:p>
    <w:p w14:paraId="0693B3C5" w14:textId="77777777" w:rsidR="00D15753" w:rsidRDefault="00D15753" w:rsidP="00C25C8C">
      <w:pPr>
        <w:numPr>
          <w:ilvl w:val="0"/>
          <w:numId w:val="3"/>
        </w:numPr>
        <w:tabs>
          <w:tab w:val="clear" w:pos="170"/>
          <w:tab w:val="num" w:pos="360"/>
        </w:tabs>
        <w:ind w:left="357" w:hanging="357"/>
        <w:jc w:val="both"/>
      </w:pPr>
      <w:r>
        <w:t>de caractériser les sûretés spécifiques en matière commerciale ;</w:t>
      </w:r>
    </w:p>
    <w:p w14:paraId="0693B3C6" w14:textId="77777777" w:rsidR="00D15753" w:rsidRDefault="00D15753" w:rsidP="00C25C8C">
      <w:pPr>
        <w:numPr>
          <w:ilvl w:val="0"/>
          <w:numId w:val="3"/>
        </w:numPr>
        <w:tabs>
          <w:tab w:val="clear" w:pos="170"/>
          <w:tab w:val="num" w:pos="360"/>
        </w:tabs>
        <w:ind w:left="357" w:hanging="357"/>
        <w:jc w:val="both"/>
      </w:pPr>
      <w:r>
        <w:t>d’analyser des contrats commerciaux, y compris le bail commercial ;</w:t>
      </w:r>
    </w:p>
    <w:p w14:paraId="0693B3C7" w14:textId="77777777" w:rsidR="00D15753" w:rsidRDefault="00D15753" w:rsidP="00C25C8C">
      <w:pPr>
        <w:numPr>
          <w:ilvl w:val="0"/>
          <w:numId w:val="3"/>
        </w:numPr>
        <w:tabs>
          <w:tab w:val="clear" w:pos="170"/>
          <w:tab w:val="num" w:pos="360"/>
        </w:tabs>
        <w:ind w:left="357" w:hanging="357"/>
        <w:jc w:val="both"/>
      </w:pPr>
      <w:r>
        <w:t>de mettre en œuvre les mécanismes juridiques du concordat et de la faillite ;</w:t>
      </w:r>
    </w:p>
    <w:p w14:paraId="0693B3C8" w14:textId="77777777" w:rsidR="00D15753" w:rsidRDefault="00D15753" w:rsidP="00C25C8C">
      <w:pPr>
        <w:numPr>
          <w:ilvl w:val="0"/>
          <w:numId w:val="3"/>
        </w:numPr>
        <w:tabs>
          <w:tab w:val="clear" w:pos="170"/>
          <w:tab w:val="num" w:pos="360"/>
        </w:tabs>
        <w:ind w:left="357" w:hanging="357"/>
        <w:jc w:val="both"/>
      </w:pPr>
      <w:r>
        <w:t>de se référer au droit civil dans la prévention et la résolution de conflits relevant du droit commercial et, en particulier, en ce qui concerne le droit de la preuve ;</w:t>
      </w:r>
    </w:p>
    <w:p w14:paraId="0693B3C9" w14:textId="77777777" w:rsidR="00D15753" w:rsidRDefault="00D15753" w:rsidP="00C25C8C">
      <w:pPr>
        <w:numPr>
          <w:ilvl w:val="0"/>
          <w:numId w:val="3"/>
        </w:numPr>
        <w:tabs>
          <w:tab w:val="clear" w:pos="170"/>
          <w:tab w:val="num" w:pos="360"/>
        </w:tabs>
        <w:ind w:left="357" w:hanging="357"/>
        <w:jc w:val="both"/>
      </w:pPr>
      <w:r>
        <w:t>d’analyser les décisions de jurisprudences relatives à ces matières ;</w:t>
      </w:r>
    </w:p>
    <w:p w14:paraId="0693B3CA" w14:textId="77777777" w:rsidR="00CD2C11" w:rsidRDefault="00D15753" w:rsidP="00C25C8C">
      <w:pPr>
        <w:numPr>
          <w:ilvl w:val="0"/>
          <w:numId w:val="3"/>
        </w:numPr>
        <w:tabs>
          <w:tab w:val="clear" w:pos="170"/>
          <w:tab w:val="num" w:pos="360"/>
        </w:tabs>
        <w:ind w:left="357" w:hanging="357"/>
        <w:jc w:val="both"/>
      </w:pPr>
      <w:r>
        <w:t>d’actualiser et de vérifier ses connaissances par la consultation et le tri d’informations juridiques.</w:t>
      </w:r>
    </w:p>
    <w:p w14:paraId="0693B3CB" w14:textId="77777777" w:rsidR="00CD2C11" w:rsidRDefault="00CD2C11" w:rsidP="00CD2C11"/>
    <w:p w14:paraId="0693B3CC" w14:textId="77777777" w:rsidR="00CD2C11" w:rsidRDefault="00CD2C11" w:rsidP="00105A84">
      <w:pPr>
        <w:pStyle w:val="Titre2"/>
      </w:pPr>
      <w:bookmarkStart w:id="7" w:name="_Toc482815552"/>
      <w:r>
        <w:t>Capacités préalables requises</w:t>
      </w:r>
      <w:bookmarkEnd w:id="7"/>
    </w:p>
    <w:p w14:paraId="0693B3CD" w14:textId="77777777" w:rsidR="00CD2C11" w:rsidRDefault="00CD2C11" w:rsidP="00C25C8C">
      <w:pPr>
        <w:pStyle w:val="Titre3"/>
        <w:numPr>
          <w:ilvl w:val="2"/>
          <w:numId w:val="1"/>
        </w:numPr>
      </w:pPr>
      <w:bookmarkStart w:id="8" w:name="_Toc482815553"/>
      <w:r>
        <w:t>Capacités</w:t>
      </w:r>
      <w:bookmarkEnd w:id="8"/>
    </w:p>
    <w:p w14:paraId="0693B3CE" w14:textId="77777777" w:rsidR="00B4592D" w:rsidRDefault="00B4592D" w:rsidP="00B4592D">
      <w:pPr>
        <w:jc w:val="both"/>
      </w:pPr>
      <w:r>
        <w:t>Compte tenu de son niveau de formation, face à des situations juridiques standards concernant les biens, les obligations et les contrats, par le recours aux règles de droit civil les régissant, en utilisant le vocabulaire adéquat et en disposant de la documentation ad hoc,</w:t>
      </w:r>
    </w:p>
    <w:p w14:paraId="0693B3CF" w14:textId="77777777" w:rsidR="00B4592D" w:rsidRDefault="00B4592D" w:rsidP="00C25C8C">
      <w:pPr>
        <w:numPr>
          <w:ilvl w:val="0"/>
          <w:numId w:val="4"/>
        </w:numPr>
        <w:spacing w:before="120"/>
        <w:ind w:left="357" w:hanging="357"/>
        <w:jc w:val="both"/>
      </w:pPr>
      <w:r>
        <w:t>analyser et abstraire la situation juridique correspondante ;</w:t>
      </w:r>
    </w:p>
    <w:p w14:paraId="0693B3D0" w14:textId="77777777" w:rsidR="00B4592D" w:rsidRDefault="00B4592D" w:rsidP="00C25C8C">
      <w:pPr>
        <w:numPr>
          <w:ilvl w:val="0"/>
          <w:numId w:val="4"/>
        </w:numPr>
        <w:jc w:val="both"/>
      </w:pPr>
      <w:r>
        <w:t>prévenir les litiges qui y sont relatifs ;</w:t>
      </w:r>
    </w:p>
    <w:p w14:paraId="0693B3D1" w14:textId="77777777" w:rsidR="00B4592D" w:rsidRDefault="00B4592D" w:rsidP="00C25C8C">
      <w:pPr>
        <w:numPr>
          <w:ilvl w:val="0"/>
          <w:numId w:val="4"/>
        </w:numPr>
        <w:jc w:val="both"/>
      </w:pPr>
      <w:r>
        <w:t>structurer et justifier la démarche juridique mise en œuvre en regard des éléments théoriques et de la jurisprudence.</w:t>
      </w:r>
    </w:p>
    <w:p w14:paraId="0693B3D2" w14:textId="77777777" w:rsidR="00B4592D" w:rsidRDefault="00B4592D" w:rsidP="00B4592D">
      <w:pPr>
        <w:spacing w:before="200"/>
        <w:jc w:val="both"/>
      </w:pPr>
      <w:r>
        <w:t>À partir d’une situation caractérisée par des problèmes juridiques standards et dans le          respect des consignes données,</w:t>
      </w:r>
    </w:p>
    <w:p w14:paraId="0693B3D3" w14:textId="77777777" w:rsidR="00B4592D" w:rsidRDefault="00B4592D" w:rsidP="00C25C8C">
      <w:pPr>
        <w:numPr>
          <w:ilvl w:val="0"/>
          <w:numId w:val="4"/>
        </w:numPr>
        <w:spacing w:before="120"/>
        <w:ind w:left="357" w:hanging="357"/>
        <w:jc w:val="both"/>
      </w:pPr>
      <w:r>
        <w:t>identifier de façon autonome un objectif de recherche ;</w:t>
      </w:r>
    </w:p>
    <w:p w14:paraId="0693B3D4" w14:textId="77777777" w:rsidR="00B4592D" w:rsidRDefault="00B4592D" w:rsidP="00C25C8C">
      <w:pPr>
        <w:numPr>
          <w:ilvl w:val="0"/>
          <w:numId w:val="4"/>
        </w:numPr>
        <w:jc w:val="both"/>
      </w:pPr>
      <w:r>
        <w:t>effectuer une recherche en fonction des trois sources du droit : législation et réglementation, doctrine, jurisprudence ;</w:t>
      </w:r>
    </w:p>
    <w:p w14:paraId="0693B3D5" w14:textId="77777777" w:rsidR="00B4592D" w:rsidRDefault="00B4592D" w:rsidP="00C25C8C">
      <w:pPr>
        <w:numPr>
          <w:ilvl w:val="0"/>
          <w:numId w:val="4"/>
        </w:numPr>
        <w:jc w:val="both"/>
      </w:pPr>
      <w:r>
        <w:t>trier et sélectionner les informations juridiques pertinentes ;</w:t>
      </w:r>
    </w:p>
    <w:p w14:paraId="0693B3D6" w14:textId="77777777" w:rsidR="00B4592D" w:rsidRDefault="00B4592D" w:rsidP="00C25C8C">
      <w:pPr>
        <w:numPr>
          <w:ilvl w:val="0"/>
          <w:numId w:val="4"/>
        </w:numPr>
        <w:jc w:val="both"/>
      </w:pPr>
      <w:r>
        <w:lastRenderedPageBreak/>
        <w:t>en donner une synthèse pragmatique, propre à la prévention ou à la résolution de la problématique ;</w:t>
      </w:r>
    </w:p>
    <w:p w14:paraId="0693B3D7" w14:textId="77777777" w:rsidR="00B4592D" w:rsidRDefault="00B4592D" w:rsidP="00C25C8C">
      <w:pPr>
        <w:numPr>
          <w:ilvl w:val="0"/>
          <w:numId w:val="4"/>
        </w:numPr>
        <w:jc w:val="both"/>
      </w:pPr>
      <w:r>
        <w:t>présenter un fonds documentaire juridique de base ;</w:t>
      </w:r>
    </w:p>
    <w:p w14:paraId="0693B3D8" w14:textId="77777777" w:rsidR="00B4592D" w:rsidRDefault="00B4592D" w:rsidP="00C25C8C">
      <w:pPr>
        <w:numPr>
          <w:ilvl w:val="0"/>
          <w:numId w:val="4"/>
        </w:numPr>
        <w:jc w:val="both"/>
      </w:pPr>
      <w:r>
        <w:t>décrire les outils nécessaires au développement et à l’actualisation des connaissances nécessaires à l’exercice de sa profession.</w:t>
      </w:r>
    </w:p>
    <w:p w14:paraId="0693B3D9" w14:textId="77777777" w:rsidR="00CD2C11" w:rsidRDefault="00CD2C11" w:rsidP="00C25C8C">
      <w:pPr>
        <w:pStyle w:val="Titre3"/>
        <w:numPr>
          <w:ilvl w:val="2"/>
          <w:numId w:val="1"/>
        </w:numPr>
      </w:pPr>
      <w:bookmarkStart w:id="9" w:name="_Toc482815554"/>
      <w:r>
        <w:t>Titre pouvant en tenir lieu</w:t>
      </w:r>
      <w:bookmarkEnd w:id="9"/>
    </w:p>
    <w:p w14:paraId="0693B3DA" w14:textId="77777777" w:rsidR="00202EF2" w:rsidRPr="00202EF2" w:rsidRDefault="00202EF2" w:rsidP="00CD2C11">
      <w:pPr>
        <w:jc w:val="both"/>
      </w:pPr>
      <w:r w:rsidRPr="00202EF2">
        <w:t>Attestations de réussite des UF 713203U32D1 « Droit civil : les biens et les obligations » et 713001U32D1 « Recherche, traitement et validation de l’information juridique » classées dans l’enseignement supérieur économique de type court.</w:t>
      </w:r>
    </w:p>
    <w:p w14:paraId="0693B3DB" w14:textId="77777777" w:rsidR="00CD2C11" w:rsidRDefault="00CD2C11" w:rsidP="00105A84">
      <w:pPr>
        <w:pStyle w:val="Titre2"/>
      </w:pPr>
      <w:bookmarkStart w:id="10" w:name="_Toc482815555"/>
      <w:r>
        <w:t>Horaire minimum de l’unité de formation</w:t>
      </w:r>
      <w:bookmarkEnd w:id="10"/>
    </w:p>
    <w:tbl>
      <w:tblPr>
        <w:tblW w:w="0" w:type="auto"/>
        <w:tblInd w:w="188" w:type="dxa"/>
        <w:tblLayout w:type="fixed"/>
        <w:tblCellMar>
          <w:left w:w="71" w:type="dxa"/>
          <w:right w:w="71" w:type="dxa"/>
        </w:tblCellMar>
        <w:tblLook w:val="0000" w:firstRow="0" w:lastRow="0" w:firstColumn="0" w:lastColumn="0" w:noHBand="0" w:noVBand="0"/>
      </w:tblPr>
      <w:tblGrid>
        <w:gridCol w:w="4040"/>
        <w:gridCol w:w="1701"/>
        <w:gridCol w:w="1751"/>
      </w:tblGrid>
      <w:tr w:rsidR="00A555EE" w:rsidRPr="00A555EE" w14:paraId="0693B3DF" w14:textId="77777777">
        <w:tc>
          <w:tcPr>
            <w:tcW w:w="4040" w:type="dxa"/>
            <w:tcBorders>
              <w:top w:val="single" w:sz="8" w:space="0" w:color="000000"/>
              <w:left w:val="single" w:sz="8" w:space="0" w:color="000000"/>
              <w:bottom w:val="single" w:sz="8" w:space="0" w:color="000000"/>
            </w:tcBorders>
          </w:tcPr>
          <w:p w14:paraId="0693B3DC" w14:textId="77777777" w:rsidR="00A555EE" w:rsidRPr="00A555EE" w:rsidRDefault="00A555EE" w:rsidP="00B51030">
            <w:pPr>
              <w:snapToGrid w:val="0"/>
              <w:ind w:left="426"/>
              <w:rPr>
                <w:b/>
                <w:szCs w:val="20"/>
              </w:rPr>
            </w:pPr>
            <w:r w:rsidRPr="00A555EE">
              <w:rPr>
                <w:b/>
                <w:szCs w:val="20"/>
              </w:rPr>
              <w:t>3.1. Dénomination du cours</w:t>
            </w:r>
          </w:p>
        </w:tc>
        <w:tc>
          <w:tcPr>
            <w:tcW w:w="1701" w:type="dxa"/>
            <w:tcBorders>
              <w:top w:val="single" w:sz="8" w:space="0" w:color="000000"/>
              <w:left w:val="single" w:sz="4" w:space="0" w:color="000000"/>
              <w:bottom w:val="single" w:sz="8" w:space="0" w:color="000000"/>
            </w:tcBorders>
          </w:tcPr>
          <w:p w14:paraId="0693B3DD" w14:textId="77777777" w:rsidR="00A555EE" w:rsidRPr="00A555EE" w:rsidRDefault="00A555EE" w:rsidP="00B51030">
            <w:pPr>
              <w:snapToGrid w:val="0"/>
              <w:rPr>
                <w:szCs w:val="20"/>
              </w:rPr>
            </w:pPr>
            <w:r w:rsidRPr="00A555EE">
              <w:rPr>
                <w:szCs w:val="20"/>
              </w:rPr>
              <w:t>Classement</w:t>
            </w:r>
          </w:p>
        </w:tc>
        <w:tc>
          <w:tcPr>
            <w:tcW w:w="1751" w:type="dxa"/>
            <w:tcBorders>
              <w:top w:val="single" w:sz="8" w:space="0" w:color="000000"/>
              <w:left w:val="single" w:sz="4" w:space="0" w:color="000000"/>
              <w:bottom w:val="single" w:sz="8" w:space="0" w:color="000000"/>
              <w:right w:val="single" w:sz="8" w:space="0" w:color="000000"/>
            </w:tcBorders>
          </w:tcPr>
          <w:p w14:paraId="0693B3DE" w14:textId="77777777" w:rsidR="00A555EE" w:rsidRPr="00A555EE" w:rsidRDefault="00A555EE" w:rsidP="00B51030">
            <w:pPr>
              <w:snapToGrid w:val="0"/>
              <w:jc w:val="center"/>
              <w:rPr>
                <w:szCs w:val="20"/>
              </w:rPr>
            </w:pPr>
            <w:r w:rsidRPr="00A555EE">
              <w:rPr>
                <w:szCs w:val="20"/>
              </w:rPr>
              <w:t>Nombre de périodes</w:t>
            </w:r>
          </w:p>
        </w:tc>
      </w:tr>
      <w:tr w:rsidR="00A555EE" w:rsidRPr="00A555EE" w14:paraId="0693B3E3" w14:textId="77777777">
        <w:tc>
          <w:tcPr>
            <w:tcW w:w="4040" w:type="dxa"/>
            <w:tcBorders>
              <w:left w:val="single" w:sz="8" w:space="0" w:color="000000"/>
              <w:bottom w:val="single" w:sz="4" w:space="0" w:color="000000"/>
            </w:tcBorders>
          </w:tcPr>
          <w:p w14:paraId="0693B3E0" w14:textId="77777777" w:rsidR="00A555EE" w:rsidRPr="00A555EE" w:rsidRDefault="00A555EE" w:rsidP="00B51030">
            <w:pPr>
              <w:snapToGrid w:val="0"/>
              <w:rPr>
                <w:szCs w:val="20"/>
              </w:rPr>
            </w:pPr>
            <w:r w:rsidRPr="00A555EE">
              <w:rPr>
                <w:szCs w:val="20"/>
              </w:rPr>
              <w:t>Droit commercial</w:t>
            </w:r>
          </w:p>
        </w:tc>
        <w:tc>
          <w:tcPr>
            <w:tcW w:w="1701" w:type="dxa"/>
            <w:tcBorders>
              <w:left w:val="single" w:sz="4" w:space="0" w:color="000000"/>
              <w:bottom w:val="single" w:sz="4" w:space="0" w:color="000000"/>
            </w:tcBorders>
          </w:tcPr>
          <w:p w14:paraId="0693B3E1" w14:textId="77777777" w:rsidR="00A555EE" w:rsidRPr="00A555EE" w:rsidRDefault="00A555EE" w:rsidP="00B51030">
            <w:pPr>
              <w:snapToGrid w:val="0"/>
              <w:jc w:val="center"/>
              <w:rPr>
                <w:szCs w:val="20"/>
              </w:rPr>
            </w:pPr>
            <w:r w:rsidRPr="00A555EE">
              <w:rPr>
                <w:szCs w:val="20"/>
              </w:rPr>
              <w:t>CT</w:t>
            </w:r>
          </w:p>
        </w:tc>
        <w:tc>
          <w:tcPr>
            <w:tcW w:w="1751" w:type="dxa"/>
            <w:tcBorders>
              <w:left w:val="single" w:sz="4" w:space="0" w:color="000000"/>
              <w:bottom w:val="single" w:sz="4" w:space="0" w:color="000000"/>
              <w:right w:val="single" w:sz="8" w:space="0" w:color="000000"/>
            </w:tcBorders>
          </w:tcPr>
          <w:p w14:paraId="0693B3E2" w14:textId="77777777" w:rsidR="00A555EE" w:rsidRPr="00A555EE" w:rsidRDefault="00A555EE" w:rsidP="00B51030">
            <w:pPr>
              <w:snapToGrid w:val="0"/>
              <w:ind w:right="567"/>
              <w:jc w:val="center"/>
              <w:rPr>
                <w:szCs w:val="20"/>
              </w:rPr>
            </w:pPr>
            <w:r w:rsidRPr="00A555EE">
              <w:rPr>
                <w:szCs w:val="20"/>
              </w:rPr>
              <w:t>64</w:t>
            </w:r>
          </w:p>
        </w:tc>
      </w:tr>
      <w:tr w:rsidR="00A555EE" w:rsidRPr="00A555EE" w14:paraId="0693B3E6" w14:textId="77777777">
        <w:tc>
          <w:tcPr>
            <w:tcW w:w="5741" w:type="dxa"/>
            <w:gridSpan w:val="2"/>
            <w:tcBorders>
              <w:left w:val="single" w:sz="8" w:space="0" w:color="000000"/>
            </w:tcBorders>
          </w:tcPr>
          <w:p w14:paraId="0693B3E4" w14:textId="77777777" w:rsidR="00A555EE" w:rsidRPr="00A555EE" w:rsidRDefault="00A555EE" w:rsidP="00B51030">
            <w:pPr>
              <w:snapToGrid w:val="0"/>
              <w:ind w:left="426"/>
              <w:rPr>
                <w:b/>
                <w:szCs w:val="20"/>
              </w:rPr>
            </w:pPr>
            <w:r w:rsidRPr="00A555EE">
              <w:rPr>
                <w:b/>
                <w:szCs w:val="20"/>
              </w:rPr>
              <w:t>3.2. Part d’autonomie</w:t>
            </w:r>
          </w:p>
        </w:tc>
        <w:tc>
          <w:tcPr>
            <w:tcW w:w="1751" w:type="dxa"/>
            <w:tcBorders>
              <w:left w:val="single" w:sz="4" w:space="0" w:color="000000"/>
              <w:right w:val="single" w:sz="8" w:space="0" w:color="000000"/>
            </w:tcBorders>
          </w:tcPr>
          <w:p w14:paraId="0693B3E5" w14:textId="77777777" w:rsidR="00A555EE" w:rsidRPr="00A555EE" w:rsidRDefault="00A555EE" w:rsidP="00B51030">
            <w:pPr>
              <w:snapToGrid w:val="0"/>
              <w:ind w:right="567"/>
              <w:jc w:val="center"/>
              <w:rPr>
                <w:szCs w:val="20"/>
              </w:rPr>
            </w:pPr>
            <w:r w:rsidRPr="00A555EE">
              <w:rPr>
                <w:szCs w:val="20"/>
              </w:rPr>
              <w:t>16</w:t>
            </w:r>
          </w:p>
        </w:tc>
      </w:tr>
      <w:tr w:rsidR="00A555EE" w:rsidRPr="00A555EE" w14:paraId="0693B3E9" w14:textId="77777777">
        <w:tc>
          <w:tcPr>
            <w:tcW w:w="5741" w:type="dxa"/>
            <w:gridSpan w:val="2"/>
            <w:tcBorders>
              <w:top w:val="single" w:sz="8" w:space="0" w:color="000000"/>
              <w:left w:val="single" w:sz="8" w:space="0" w:color="000000"/>
              <w:bottom w:val="single" w:sz="8" w:space="0" w:color="000000"/>
            </w:tcBorders>
          </w:tcPr>
          <w:p w14:paraId="0693B3E7" w14:textId="77777777" w:rsidR="00A555EE" w:rsidRPr="00A555EE" w:rsidRDefault="00A555EE" w:rsidP="00B51030">
            <w:pPr>
              <w:snapToGrid w:val="0"/>
              <w:rPr>
                <w:szCs w:val="20"/>
              </w:rPr>
            </w:pPr>
            <w:r w:rsidRPr="00A555EE">
              <w:rPr>
                <w:szCs w:val="20"/>
              </w:rPr>
              <w:t>Total des périodes</w:t>
            </w:r>
          </w:p>
        </w:tc>
        <w:tc>
          <w:tcPr>
            <w:tcW w:w="1751" w:type="dxa"/>
            <w:tcBorders>
              <w:top w:val="single" w:sz="8" w:space="0" w:color="000000"/>
              <w:left w:val="single" w:sz="4" w:space="0" w:color="000000"/>
              <w:bottom w:val="single" w:sz="8" w:space="0" w:color="000000"/>
              <w:right w:val="single" w:sz="8" w:space="0" w:color="000000"/>
            </w:tcBorders>
          </w:tcPr>
          <w:p w14:paraId="0693B3E8" w14:textId="77777777" w:rsidR="00A555EE" w:rsidRPr="00A555EE" w:rsidRDefault="00A555EE" w:rsidP="00B51030">
            <w:pPr>
              <w:snapToGrid w:val="0"/>
              <w:ind w:right="567"/>
              <w:jc w:val="center"/>
              <w:rPr>
                <w:szCs w:val="20"/>
              </w:rPr>
            </w:pPr>
            <w:r w:rsidRPr="00A555EE">
              <w:rPr>
                <w:szCs w:val="20"/>
              </w:rPr>
              <w:t>80</w:t>
            </w:r>
          </w:p>
        </w:tc>
      </w:tr>
    </w:tbl>
    <w:p w14:paraId="0693B3EA" w14:textId="77777777" w:rsidR="00A555EE" w:rsidRPr="00A555EE" w:rsidRDefault="00A555EE" w:rsidP="00A555EE"/>
    <w:p w14:paraId="0693B3EB" w14:textId="77777777" w:rsidR="00CD2C11" w:rsidRDefault="00CD2C11" w:rsidP="00105A84">
      <w:pPr>
        <w:pStyle w:val="Titre2"/>
      </w:pPr>
      <w:bookmarkStart w:id="11" w:name="_Toc482815556"/>
      <w:r>
        <w:t>CAPACITES TERMINALES</w:t>
      </w:r>
      <w:bookmarkEnd w:id="11"/>
    </w:p>
    <w:p w14:paraId="0693B3EC" w14:textId="77777777" w:rsidR="00CD2C11" w:rsidRDefault="00CD2C11" w:rsidP="00C25C8C">
      <w:pPr>
        <w:pStyle w:val="Titre3"/>
        <w:numPr>
          <w:ilvl w:val="2"/>
          <w:numId w:val="1"/>
        </w:numPr>
      </w:pPr>
      <w:bookmarkStart w:id="12" w:name="_Toc482815557"/>
      <w:r>
        <w:t>Pour atteindre le seuil de réussite, l'étudiant sera capable :</w:t>
      </w:r>
      <w:bookmarkEnd w:id="12"/>
    </w:p>
    <w:p w14:paraId="0693B3ED" w14:textId="77777777" w:rsidR="00CD2C11" w:rsidRDefault="00A555EE" w:rsidP="00C25C8C">
      <w:pPr>
        <w:numPr>
          <w:ilvl w:val="0"/>
          <w:numId w:val="5"/>
        </w:numPr>
        <w:jc w:val="both"/>
      </w:pPr>
      <w:r w:rsidRPr="00A555EE">
        <w:t>face à diverses situations et opérations relevant du champ d’application du droit commercial, en disposant de la documentation ad hoc,</w:t>
      </w:r>
    </w:p>
    <w:p w14:paraId="0693B3EE" w14:textId="77777777" w:rsidR="00A555EE" w:rsidRDefault="00A555EE" w:rsidP="00C25C8C">
      <w:pPr>
        <w:numPr>
          <w:ilvl w:val="1"/>
          <w:numId w:val="5"/>
        </w:numPr>
        <w:tabs>
          <w:tab w:val="clear" w:pos="1080"/>
          <w:tab w:val="num" w:pos="709"/>
        </w:tabs>
        <w:spacing w:before="120"/>
        <w:ind w:left="709" w:hanging="284"/>
        <w:jc w:val="both"/>
      </w:pPr>
      <w:r>
        <w:t>de caractériser au moins deux principes fondamentaux du code de commerce (qualité et obligations du commerçant, actes commerciaux, éléments constitutifs d’un fonds de commerce et opérations y relatives, utilisation de moyens de paiement spécifiques) ;</w:t>
      </w:r>
    </w:p>
    <w:p w14:paraId="0693B3EF" w14:textId="77777777" w:rsidR="00A555EE" w:rsidRDefault="00A555EE" w:rsidP="00C25C8C">
      <w:pPr>
        <w:numPr>
          <w:ilvl w:val="1"/>
          <w:numId w:val="5"/>
        </w:numPr>
        <w:tabs>
          <w:tab w:val="clear" w:pos="1080"/>
          <w:tab w:val="num" w:pos="709"/>
        </w:tabs>
        <w:ind w:left="709" w:hanging="283"/>
        <w:jc w:val="both"/>
      </w:pPr>
      <w:r>
        <w:t>d’analyser et résoudre un litige relevant de la loi sur les pratiques du commerce et la protection du consommateur ;</w:t>
      </w:r>
    </w:p>
    <w:p w14:paraId="0693B3F0" w14:textId="77777777" w:rsidR="00A555EE" w:rsidRDefault="00A555EE" w:rsidP="00C25C8C">
      <w:pPr>
        <w:numPr>
          <w:ilvl w:val="1"/>
          <w:numId w:val="5"/>
        </w:numPr>
        <w:tabs>
          <w:tab w:val="clear" w:pos="1080"/>
          <w:tab w:val="num" w:pos="709"/>
        </w:tabs>
        <w:ind w:left="709" w:hanging="283"/>
        <w:jc w:val="both"/>
      </w:pPr>
      <w:r>
        <w:t>d’expliciter des clauses d’un contrat commercial usuel et leurs conséquences pour les parties ;</w:t>
      </w:r>
    </w:p>
    <w:p w14:paraId="0693B3F1" w14:textId="77777777" w:rsidR="00CD2C11" w:rsidRDefault="00A555EE" w:rsidP="00C25C8C">
      <w:pPr>
        <w:numPr>
          <w:ilvl w:val="1"/>
          <w:numId w:val="5"/>
        </w:numPr>
        <w:tabs>
          <w:tab w:val="clear" w:pos="1080"/>
          <w:tab w:val="num" w:pos="709"/>
        </w:tabs>
        <w:ind w:left="709" w:hanging="283"/>
        <w:jc w:val="both"/>
      </w:pPr>
      <w:r>
        <w:t>de mettre en œuvre les procédures adéquates en cas de concordat judiciaire ou de faillite en veillant particulièrement à préserver les intérêts des parties.</w:t>
      </w:r>
    </w:p>
    <w:p w14:paraId="0693B3F2" w14:textId="77777777" w:rsidR="00CD2C11" w:rsidRDefault="00CD2C11" w:rsidP="00C25C8C">
      <w:pPr>
        <w:pStyle w:val="Titre3"/>
        <w:numPr>
          <w:ilvl w:val="2"/>
          <w:numId w:val="1"/>
        </w:numPr>
      </w:pPr>
      <w:bookmarkStart w:id="13" w:name="_Toc482815558"/>
      <w:r>
        <w:t>Pour la détermination du degré de maîtrise, il sera tenu compte des critères suivants :</w:t>
      </w:r>
      <w:bookmarkEnd w:id="13"/>
    </w:p>
    <w:p w14:paraId="0693B3F3" w14:textId="77777777" w:rsidR="00E93683" w:rsidRDefault="00E93683" w:rsidP="00C25C8C">
      <w:pPr>
        <w:numPr>
          <w:ilvl w:val="0"/>
          <w:numId w:val="5"/>
        </w:numPr>
      </w:pPr>
      <w:r>
        <w:t>la cohérence entre la démarche et la situation traitée,</w:t>
      </w:r>
    </w:p>
    <w:p w14:paraId="0693B3F4" w14:textId="77777777" w:rsidR="00E93683" w:rsidRDefault="00E93683" w:rsidP="00C25C8C">
      <w:pPr>
        <w:numPr>
          <w:ilvl w:val="0"/>
          <w:numId w:val="5"/>
        </w:numPr>
      </w:pPr>
      <w:r>
        <w:t>le recours judicieux aux textes légaux et réglementaires,</w:t>
      </w:r>
    </w:p>
    <w:p w14:paraId="0693B3F5" w14:textId="77777777" w:rsidR="00E93683" w:rsidRDefault="00E93683" w:rsidP="00C25C8C">
      <w:pPr>
        <w:numPr>
          <w:ilvl w:val="0"/>
          <w:numId w:val="5"/>
        </w:numPr>
      </w:pPr>
      <w:r>
        <w:t>le degré de rigueur dans le développement et l’argumentation juridiques,</w:t>
      </w:r>
    </w:p>
    <w:p w14:paraId="0693B3F6" w14:textId="77777777" w:rsidR="00E93683" w:rsidRDefault="00E93683" w:rsidP="00C25C8C">
      <w:pPr>
        <w:numPr>
          <w:ilvl w:val="0"/>
          <w:numId w:val="5"/>
        </w:numPr>
      </w:pPr>
      <w:r>
        <w:t>le niveau de sens critique,</w:t>
      </w:r>
    </w:p>
    <w:p w14:paraId="0693B3F7" w14:textId="77777777" w:rsidR="00CD2C11" w:rsidRDefault="00E93683" w:rsidP="00C25C8C">
      <w:pPr>
        <w:numPr>
          <w:ilvl w:val="0"/>
          <w:numId w:val="5"/>
        </w:numPr>
      </w:pPr>
      <w:r>
        <w:t>la qualité de la restitution de l'information analysée.</w:t>
      </w:r>
    </w:p>
    <w:p w14:paraId="0693B3F8" w14:textId="77777777" w:rsidR="00CD2C11" w:rsidRDefault="00CD2C11" w:rsidP="00105A84">
      <w:pPr>
        <w:pStyle w:val="Titre2"/>
      </w:pPr>
      <w:bookmarkStart w:id="14" w:name="_Toc482815559"/>
      <w:r>
        <w:lastRenderedPageBreak/>
        <w:t>Système d’évaluation continue et organisation de l’examen</w:t>
      </w:r>
      <w:bookmarkEnd w:id="14"/>
    </w:p>
    <w:p w14:paraId="0693B3F9" w14:textId="77777777" w:rsidR="00CD2C11" w:rsidRDefault="00CD2C11" w:rsidP="00CD2C11">
      <w:pPr>
        <w:jc w:val="both"/>
      </w:pPr>
      <w:r>
        <w:t>Conformément au décret sur la promotion sociale, l’évaluation de l’unité de formation comportera deux volets : une évaluation continue et une évaluation certificative. Chacun de ces volets évaluatifs comptera pour 50 % dans la note finale attribuée à l’étudiant.</w:t>
      </w:r>
    </w:p>
    <w:p w14:paraId="0693B3FA" w14:textId="77777777" w:rsidR="00CD2C11" w:rsidRDefault="00CD2C11" w:rsidP="00CD2C11">
      <w:pPr>
        <w:jc w:val="both"/>
      </w:pPr>
      <w:r>
        <w:t>Toutes les évaluations (interrogations et examen) ont lieu avec toute la documentation souhaitée de l’étudiant.</w:t>
      </w:r>
    </w:p>
    <w:p w14:paraId="0693B3FB" w14:textId="77777777" w:rsidR="00CD2C11" w:rsidRDefault="00CD2C11" w:rsidP="00C25C8C">
      <w:pPr>
        <w:pStyle w:val="Titre3"/>
        <w:numPr>
          <w:ilvl w:val="2"/>
          <w:numId w:val="1"/>
        </w:numPr>
      </w:pPr>
      <w:bookmarkStart w:id="15" w:name="_Toc482815560"/>
      <w:r>
        <w:t>Évaluation continue</w:t>
      </w:r>
      <w:bookmarkEnd w:id="15"/>
    </w:p>
    <w:p w14:paraId="0693B3FC" w14:textId="77777777" w:rsidR="00CD2C11" w:rsidRDefault="00CD2C11" w:rsidP="00CD2C11">
      <w:r>
        <w:t>Elle a lieu durant toute la formation et prend la forme de :</w:t>
      </w:r>
    </w:p>
    <w:p w14:paraId="0693B3FD" w14:textId="77777777" w:rsidR="00CD2C11" w:rsidRDefault="00CD2C11" w:rsidP="00C25C8C">
      <w:pPr>
        <w:numPr>
          <w:ilvl w:val="0"/>
          <w:numId w:val="6"/>
        </w:numPr>
        <w:spacing w:before="200"/>
        <w:ind w:left="357" w:hanging="357"/>
        <w:jc w:val="both"/>
      </w:pPr>
      <w:r>
        <w:t>participations actives et pertinentes en classe (présence minimum obligatoire de 90 % de la durée de l’unité de formation</w:t>
      </w:r>
      <w:r>
        <w:rPr>
          <w:rStyle w:val="Appelnotedebasdep"/>
        </w:rPr>
        <w:footnoteReference w:id="2"/>
      </w:r>
      <w:r>
        <w:t>) ;</w:t>
      </w:r>
    </w:p>
    <w:p w14:paraId="0693B3FE" w14:textId="77777777" w:rsidR="00CD2C11" w:rsidRDefault="00CD2C11" w:rsidP="00C25C8C">
      <w:pPr>
        <w:numPr>
          <w:ilvl w:val="0"/>
          <w:numId w:val="6"/>
        </w:numPr>
      </w:pPr>
      <w:r>
        <w:t>travaux individuels ou en groupe proposés au cours de la formation ;</w:t>
      </w:r>
    </w:p>
    <w:p w14:paraId="0693B3FF" w14:textId="77777777" w:rsidR="00CD2C11" w:rsidRDefault="00CD2C11" w:rsidP="00C25C8C">
      <w:pPr>
        <w:numPr>
          <w:ilvl w:val="0"/>
          <w:numId w:val="6"/>
        </w:numPr>
        <w:jc w:val="both"/>
      </w:pPr>
      <w:r>
        <w:t>contrôles de compétences réguliers (appelés également interrogations), à raison d’une toutes les deux ou trois semaines, sous forme de questionnaires à choix multiples proposés en ligne sur le site de l’unité de formation (</w:t>
      </w:r>
      <w:hyperlink r:id="rId11" w:history="1">
        <w:r w:rsidRPr="00EC016A">
          <w:rPr>
            <w:rStyle w:val="Lienhypertexte"/>
          </w:rPr>
          <w:t>http://kirsch.c.la</w:t>
        </w:r>
      </w:hyperlink>
      <w:r>
        <w:t>, puis choisir « </w:t>
      </w:r>
      <w:r w:rsidR="00E93683">
        <w:t>Droit commercial</w:t>
      </w:r>
      <w:r>
        <w:t> »</w:t>
      </w:r>
      <w:r w:rsidR="00E93683">
        <w:t xml:space="preserve"> des Juristes</w:t>
      </w:r>
      <w:r>
        <w:t>).</w:t>
      </w:r>
    </w:p>
    <w:p w14:paraId="0693B400" w14:textId="77777777" w:rsidR="00CD2C11" w:rsidRDefault="00CD2C11" w:rsidP="00CD2C11">
      <w:pPr>
        <w:spacing w:before="200"/>
        <w:jc w:val="both"/>
      </w:pPr>
      <w:r>
        <w:t>Ces différentes formes d’évaluation seront formatives (des corrections collectives et remédiations systématiques seront apportées régulièrement et sans retard) et, le plus souvent, formatrices (l’étudiant pourra le plus souvent s’autoévaluer grâce à un système d’évaluation précis et clairement défini au préalable).</w:t>
      </w:r>
    </w:p>
    <w:p w14:paraId="0693B401" w14:textId="77777777" w:rsidR="00CD2C11" w:rsidRDefault="00CD2C11" w:rsidP="00C25C8C">
      <w:pPr>
        <w:pStyle w:val="Titre3"/>
        <w:numPr>
          <w:ilvl w:val="2"/>
          <w:numId w:val="1"/>
        </w:numPr>
      </w:pPr>
      <w:bookmarkStart w:id="18" w:name="_Toc482815561"/>
      <w:r>
        <w:t>Évaluation certificative</w:t>
      </w:r>
      <w:bookmarkEnd w:id="18"/>
    </w:p>
    <w:p w14:paraId="0693B402" w14:textId="77777777" w:rsidR="00CD2C11" w:rsidRDefault="00CD2C11" w:rsidP="00CD2C11">
      <w:pPr>
        <w:jc w:val="both"/>
      </w:pPr>
      <w:r>
        <w:t>Il s’agit de l’examen final, ayant lieu le dernier jour de cours de l’unité de formation. Il prend la forme identique des contrôles de compétences réguliers, mais sous forme papier, à compléter en classe. Les questions de l’examen sont reprises de l’ensemble des interrogations ayant régulièrement eu lieu durant toute la formation. Parfois, elles sont inversées ou légèrement transformées, ou sous forme de question ouverte. La duré de l’examen couvre un peu plus de deux périodes de cours, soit deux grosses interrogations.</w:t>
      </w:r>
    </w:p>
    <w:p w14:paraId="0693B403" w14:textId="77777777" w:rsidR="00CD2C11" w:rsidRPr="00DF2BD4" w:rsidRDefault="00CD2C11" w:rsidP="00CD2C11">
      <w:pPr>
        <w:jc w:val="both"/>
      </w:pPr>
      <w:r>
        <w:t>L’éventuelle 2</w:t>
      </w:r>
      <w:r w:rsidRPr="001A6B4E">
        <w:rPr>
          <w:vertAlign w:val="superscript"/>
        </w:rPr>
        <w:t>e</w:t>
      </w:r>
      <w:r>
        <w:t xml:space="preserve"> session (les 2</w:t>
      </w:r>
      <w:r w:rsidRPr="001A6B4E">
        <w:rPr>
          <w:vertAlign w:val="superscript"/>
        </w:rPr>
        <w:t>e</w:t>
      </w:r>
      <w:r>
        <w:t xml:space="preserve"> sessions ne sont pas obligatoire en promotion sociale de régime 1), si elle est organisée, a lieu deux semaines après l’examen final, sauf si celui-ci a lieu en juin, auquel cas l’éventuelle 2</w:t>
      </w:r>
      <w:r w:rsidRPr="001A6B4E">
        <w:rPr>
          <w:vertAlign w:val="superscript"/>
        </w:rPr>
        <w:t>e</w:t>
      </w:r>
      <w:r>
        <w:t xml:space="preserve"> session a lieu à partir de la dernière semaine du mois d’août. En cas de 2</w:t>
      </w:r>
      <w:r w:rsidRPr="001A6B4E">
        <w:rPr>
          <w:vertAlign w:val="superscript"/>
        </w:rPr>
        <w:t>e</w:t>
      </w:r>
      <w:r>
        <w:t xml:space="preserve"> session, la note finale ne tient compte que du résultat obtenu à l’examen de 2</w:t>
      </w:r>
      <w:r w:rsidRPr="001A6B4E">
        <w:rPr>
          <w:vertAlign w:val="superscript"/>
        </w:rPr>
        <w:t>e</w:t>
      </w:r>
      <w:r>
        <w:t xml:space="preserve"> session. Les travaux et autres interrogations n’entrent plus en compte</w:t>
      </w:r>
      <w:r>
        <w:rPr>
          <w:rStyle w:val="Appelnotedebasdep"/>
        </w:rPr>
        <w:footnoteReference w:id="3"/>
      </w:r>
      <w:r>
        <w:t>. Ont droit à une éventuelle 2</w:t>
      </w:r>
      <w:r w:rsidRPr="001A0490">
        <w:rPr>
          <w:vertAlign w:val="superscript"/>
        </w:rPr>
        <w:t>e</w:t>
      </w:r>
      <w:r>
        <w:t xml:space="preserve"> session les étudiants ajournés en 1</w:t>
      </w:r>
      <w:r w:rsidRPr="001A0490">
        <w:rPr>
          <w:vertAlign w:val="superscript"/>
        </w:rPr>
        <w:t>re</w:t>
      </w:r>
      <w:r>
        <w:t xml:space="preserve"> session. Les étudiants refusés en 1</w:t>
      </w:r>
      <w:r w:rsidRPr="001A0490">
        <w:rPr>
          <w:vertAlign w:val="superscript"/>
        </w:rPr>
        <w:t>re</w:t>
      </w:r>
      <w:r>
        <w:t xml:space="preserve"> session n’y ont pas droit et doivent recommencer l’unité de formation dans l’établissement de leur choix. Pour information, sauf décision contraire du Conseil des Études lors des délibérations, les étudiants ajournés obtiennent généralement une note finale entre 40 et 50 % ; les étudiants refusés sont sous les 40 %.</w:t>
      </w:r>
    </w:p>
    <w:p w14:paraId="0693B404" w14:textId="77777777" w:rsidR="004C64BF" w:rsidRDefault="004C64BF" w:rsidP="00266865">
      <w:pPr>
        <w:pStyle w:val="Titre1"/>
      </w:pPr>
      <w:bookmarkStart w:id="19" w:name="Chapitre_1_G_n_ralit_s_1862299_986730213"/>
      <w:bookmarkStart w:id="20" w:name="_Toc482815562"/>
      <w:bookmarkEnd w:id="19"/>
      <w:r>
        <w:lastRenderedPageBreak/>
        <w:t>Généralités</w:t>
      </w:r>
      <w:bookmarkEnd w:id="20"/>
      <w:r>
        <w:t xml:space="preserve"> </w:t>
      </w:r>
    </w:p>
    <w:p w14:paraId="0693B405" w14:textId="77777777" w:rsidR="009B47FB" w:rsidRDefault="009B47FB" w:rsidP="009B47FB"/>
    <w:p w14:paraId="0693B406" w14:textId="77777777" w:rsidR="009B47FB" w:rsidRDefault="009B47FB" w:rsidP="009B47FB"/>
    <w:p w14:paraId="0693B407" w14:textId="77777777" w:rsidR="009B47FB" w:rsidRDefault="009B47FB" w:rsidP="009B47FB"/>
    <w:p w14:paraId="0693B408" w14:textId="77777777" w:rsidR="009B47FB" w:rsidRDefault="009B47FB" w:rsidP="009B47FB"/>
    <w:p w14:paraId="0693B409" w14:textId="77777777" w:rsidR="009B47FB" w:rsidRDefault="009B47FB" w:rsidP="009B47FB"/>
    <w:p w14:paraId="0693B40A" w14:textId="77777777" w:rsidR="003F28ED" w:rsidRDefault="003F28ED" w:rsidP="003F28ED">
      <w:pPr>
        <w:ind w:left="5245"/>
        <w:jc w:val="right"/>
        <w:rPr>
          <w:i/>
          <w:sz w:val="24"/>
        </w:rPr>
      </w:pPr>
      <w:r w:rsidRPr="003F28ED">
        <w:rPr>
          <w:i/>
          <w:sz w:val="24"/>
        </w:rPr>
        <w:t>“ Un grand économiste, c'est quelqu'un qui saura très bien expliquer demain pourquoi ce qu'il a prévu hier ne s'est pas produit aujourd'hui. ”</w:t>
      </w:r>
    </w:p>
    <w:p w14:paraId="0693B40B" w14:textId="77777777" w:rsidR="009B47FB" w:rsidRDefault="003F28ED" w:rsidP="003F28ED">
      <w:pPr>
        <w:ind w:left="5245"/>
        <w:jc w:val="right"/>
        <w:rPr>
          <w:sz w:val="24"/>
        </w:rPr>
      </w:pPr>
      <w:r w:rsidRPr="003F28ED">
        <w:rPr>
          <w:sz w:val="24"/>
        </w:rPr>
        <w:t>(Jacques Attali)</w:t>
      </w:r>
    </w:p>
    <w:p w14:paraId="63C5871D" w14:textId="2BDD617D" w:rsidR="00772723" w:rsidRDefault="00772723">
      <w:pPr>
        <w:rPr>
          <w:sz w:val="24"/>
        </w:rPr>
      </w:pPr>
      <w:r>
        <w:rPr>
          <w:sz w:val="24"/>
        </w:rPr>
        <w:br w:type="page"/>
      </w:r>
    </w:p>
    <w:p w14:paraId="0693B40C" w14:textId="77777777" w:rsidR="004C64BF" w:rsidRDefault="004C64BF" w:rsidP="00105A84">
      <w:pPr>
        <w:pStyle w:val="Titre2"/>
      </w:pPr>
      <w:bookmarkStart w:id="21" w:name="Divisions_du_droit_96696678455_411316786"/>
      <w:bookmarkStart w:id="22" w:name="_Toc482815563"/>
      <w:bookmarkEnd w:id="21"/>
      <w:r>
        <w:lastRenderedPageBreak/>
        <w:t>Divisions du droit</w:t>
      </w:r>
      <w:bookmarkEnd w:id="22"/>
      <w:r>
        <w:t xml:space="preserve"> </w:t>
      </w:r>
    </w:p>
    <w:p w14:paraId="0693B40D" w14:textId="77777777" w:rsidR="004C64BF" w:rsidRDefault="004C64BF" w:rsidP="004C64BF">
      <w:pPr>
        <w:pStyle w:val="Titre3"/>
        <w:spacing w:after="280" w:afterAutospacing="1"/>
      </w:pPr>
      <w:bookmarkStart w:id="23" w:name="Droit_priv_4051154460757971_96_372846787"/>
      <w:bookmarkStart w:id="24" w:name="_Toc482815564"/>
      <w:bookmarkEnd w:id="23"/>
      <w:r>
        <w:t>Droit privé</w:t>
      </w:r>
      <w:bookmarkEnd w:id="24"/>
      <w:r>
        <w:t xml:space="preserve"> </w:t>
      </w:r>
    </w:p>
    <w:p w14:paraId="0693B40E" w14:textId="77777777" w:rsidR="004C64BF" w:rsidRPr="00DB290B" w:rsidRDefault="004C64BF" w:rsidP="0005457C">
      <w:pPr>
        <w:pStyle w:val="StyleDivAprs14pt"/>
        <w:rPr>
          <w:sz w:val="20"/>
        </w:rPr>
      </w:pPr>
      <w:r w:rsidRPr="00DB290B">
        <w:rPr>
          <w:sz w:val="20"/>
        </w:rPr>
        <w:t xml:space="preserve">Droit civil, droit commercial et droit international privé (Code depuis 16/07/2004) </w:t>
      </w:r>
    </w:p>
    <w:p w14:paraId="0693B40F" w14:textId="77777777" w:rsidR="004C64BF" w:rsidRDefault="004C64BF" w:rsidP="004C64BF">
      <w:pPr>
        <w:pStyle w:val="Titre3"/>
        <w:spacing w:after="280" w:afterAutospacing="1"/>
      </w:pPr>
      <w:bookmarkStart w:id="25" w:name="Droit_public_9338978510349989_"/>
      <w:bookmarkStart w:id="26" w:name="_Toc482815565"/>
      <w:bookmarkEnd w:id="25"/>
      <w:r>
        <w:t>Droit public</w:t>
      </w:r>
      <w:bookmarkEnd w:id="26"/>
      <w:r>
        <w:t xml:space="preserve"> </w:t>
      </w:r>
    </w:p>
    <w:p w14:paraId="0693B410" w14:textId="77777777" w:rsidR="004C64BF" w:rsidRPr="00DB290B" w:rsidRDefault="004C64BF" w:rsidP="0005457C">
      <w:pPr>
        <w:pStyle w:val="StyleDivAprs14pt"/>
        <w:rPr>
          <w:sz w:val="20"/>
        </w:rPr>
      </w:pPr>
      <w:r w:rsidRPr="00DB290B">
        <w:rPr>
          <w:sz w:val="20"/>
        </w:rPr>
        <w:t xml:space="preserve">Droit constitutionnel, droit administratif, droit pénal, droit fiscal, droit international public </w:t>
      </w:r>
    </w:p>
    <w:p w14:paraId="0693B411" w14:textId="77777777" w:rsidR="004C64BF" w:rsidRDefault="004C64BF" w:rsidP="004C64BF">
      <w:pPr>
        <w:pStyle w:val="Titre3"/>
        <w:spacing w:after="280" w:afterAutospacing="1"/>
      </w:pPr>
      <w:bookmarkStart w:id="27" w:name="Droit_social_3969497550278902_"/>
      <w:bookmarkStart w:id="28" w:name="_Toc482815566"/>
      <w:bookmarkEnd w:id="27"/>
      <w:r>
        <w:t>Droit social</w:t>
      </w:r>
      <w:bookmarkEnd w:id="28"/>
      <w:r>
        <w:t xml:space="preserve"> </w:t>
      </w:r>
    </w:p>
    <w:p w14:paraId="0693B412" w14:textId="77777777" w:rsidR="004C64BF" w:rsidRPr="00DB290B" w:rsidRDefault="004C64BF" w:rsidP="0005457C">
      <w:pPr>
        <w:pStyle w:val="StyleDivAprs14pt"/>
        <w:rPr>
          <w:sz w:val="20"/>
          <w:lang w:val="fr-BE"/>
        </w:rPr>
      </w:pPr>
      <w:r w:rsidRPr="00DB290B">
        <w:rPr>
          <w:sz w:val="20"/>
        </w:rPr>
        <w:t xml:space="preserve">Règles du travail et de la sécurité sociale </w:t>
      </w:r>
    </w:p>
    <w:p w14:paraId="0693B413" w14:textId="77777777" w:rsidR="00451727" w:rsidRDefault="00451727" w:rsidP="0005457C">
      <w:pPr>
        <w:pStyle w:val="StyleDivAprs14pt"/>
        <w:rPr>
          <w:lang w:val="fr-BE"/>
        </w:rPr>
      </w:pPr>
    </w:p>
    <w:p w14:paraId="0693B414" w14:textId="77777777" w:rsidR="00451727" w:rsidRPr="00451727" w:rsidRDefault="00451727" w:rsidP="0005457C">
      <w:pPr>
        <w:pStyle w:val="StyleDivAprs14pt"/>
        <w:rPr>
          <w:lang w:val="fr-BE"/>
        </w:rPr>
      </w:pPr>
    </w:p>
    <w:p w14:paraId="0693B415" w14:textId="77777777" w:rsidR="00451727" w:rsidRPr="00451727" w:rsidRDefault="00FB0892" w:rsidP="0005457C">
      <w:pPr>
        <w:pStyle w:val="StyleDivAprs14pt"/>
        <w:rPr>
          <w:lang w:val="fr-BE"/>
        </w:rPr>
      </w:pPr>
      <w:r>
        <w:rPr>
          <w:noProof/>
          <w:lang w:val="fr-BE" w:eastAsia="fr-BE"/>
        </w:rPr>
        <w:drawing>
          <wp:inline distT="0" distB="0" distL="0" distR="0" wp14:anchorId="0693BABE" wp14:editId="0693BABF">
            <wp:extent cx="5753100" cy="3324225"/>
            <wp:effectExtent l="0" t="0" r="0" b="9525"/>
            <wp:docPr id="3" name="Image 3"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ll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14:paraId="0693B416" w14:textId="77777777" w:rsidR="004C64BF" w:rsidRPr="005626D3" w:rsidRDefault="004C64BF" w:rsidP="00105A84">
      <w:pPr>
        <w:pStyle w:val="Titre2"/>
      </w:pPr>
      <w:bookmarkStart w:id="29" w:name="Structure_des_cours_et_tribuna_319710904"/>
      <w:bookmarkStart w:id="30" w:name="_Toc482815567"/>
      <w:bookmarkEnd w:id="29"/>
      <w:r w:rsidRPr="005626D3">
        <w:t xml:space="preserve">Structure des </w:t>
      </w:r>
      <w:hyperlink r:id="rId13" w:history="1">
        <w:bookmarkStart w:id="31" w:name="zr4c"/>
        <w:r w:rsidRPr="005626D3">
          <w:rPr>
            <w:color w:val="0000FF"/>
            <w:u w:val="single"/>
          </w:rPr>
          <w:t>cours et tribunaux</w:t>
        </w:r>
        <w:bookmarkEnd w:id="30"/>
      </w:hyperlink>
      <w:bookmarkEnd w:id="31"/>
      <w:r w:rsidRPr="005626D3">
        <w:t xml:space="preserve"> </w:t>
      </w:r>
    </w:p>
    <w:p w14:paraId="0693B417" w14:textId="77777777" w:rsidR="00451727" w:rsidRPr="005626D3" w:rsidRDefault="004C64BF" w:rsidP="006F75CE">
      <w:pPr>
        <w:pStyle w:val="StyleAprs14pt"/>
      </w:pPr>
      <w:r w:rsidRPr="005626D3">
        <w:t>Le Conseil d'Etat tranche les litiges liés à des décisions administratives.</w:t>
      </w:r>
      <w:r w:rsidRPr="005626D3">
        <w:br/>
        <w:t xml:space="preserve">La Cour d'Arbitrage </w:t>
      </w:r>
      <w:r w:rsidR="007D7CF6" w:rsidRPr="005626D3">
        <w:t xml:space="preserve">statue </w:t>
      </w:r>
      <w:r w:rsidRPr="005626D3">
        <w:t>sur l'annulation d'une loi ou d'un décret pour violation de la Constitution, ou sur l'annulation d'une loi constitutionnelle pour violation de l'égalité des Belges, de la liberté de l'enseignement, ou pour raison de discrimination idéologique ou philosophique.</w:t>
      </w:r>
    </w:p>
    <w:p w14:paraId="0693B418" w14:textId="77777777" w:rsidR="00451727" w:rsidRDefault="00451727" w:rsidP="006F75CE">
      <w:pPr>
        <w:pStyle w:val="StyleAprs14pt"/>
      </w:pPr>
    </w:p>
    <w:p w14:paraId="0693B419" w14:textId="77777777" w:rsidR="00451727" w:rsidRDefault="00FB0892" w:rsidP="00451727">
      <w:pPr>
        <w:pStyle w:val="StyleAprs14pt"/>
        <w:jc w:val="center"/>
      </w:pPr>
      <w:r>
        <w:rPr>
          <w:noProof/>
          <w:lang w:eastAsia="fr-BE"/>
        </w:rPr>
        <w:drawing>
          <wp:inline distT="0" distB="0" distL="0" distR="0" wp14:anchorId="0693BAC0" wp14:editId="0693BAC1">
            <wp:extent cx="4724400" cy="3438525"/>
            <wp:effectExtent l="0" t="0" r="0" b="9525"/>
            <wp:docPr id="4" name="Image 4"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vell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438525"/>
                    </a:xfrm>
                    <a:prstGeom prst="rect">
                      <a:avLst/>
                    </a:prstGeom>
                    <a:noFill/>
                    <a:ln>
                      <a:noFill/>
                    </a:ln>
                  </pic:spPr>
                </pic:pic>
              </a:graphicData>
            </a:graphic>
          </wp:inline>
        </w:drawing>
      </w:r>
    </w:p>
    <w:p w14:paraId="0693B41A" w14:textId="77777777" w:rsidR="004C64BF" w:rsidRPr="005626D3" w:rsidRDefault="00451727" w:rsidP="00451727">
      <w:pPr>
        <w:pStyle w:val="StyleAprs14pt"/>
        <w:jc w:val="center"/>
      </w:pPr>
      <w:r>
        <w:t xml:space="preserve">Source : </w:t>
      </w:r>
      <w:hyperlink r:id="rId15" w:history="1">
        <w:r w:rsidRPr="00DA39F2">
          <w:rPr>
            <w:rStyle w:val="Lienhypertexte"/>
          </w:rPr>
          <w:t>http://www.juridat.be</w:t>
        </w:r>
      </w:hyperlink>
      <w:r>
        <w:t>, consulté le 09/02/2011</w:t>
      </w:r>
      <w:r w:rsidR="004C64BF">
        <w:br/>
      </w:r>
    </w:p>
    <w:p w14:paraId="0693B41B" w14:textId="77777777" w:rsidR="005626D3" w:rsidRPr="005626D3" w:rsidRDefault="005626D3" w:rsidP="005626D3">
      <w:r w:rsidRPr="005626D3">
        <w:t xml:space="preserve">Pour les compétences des cours et des tribunaux, consulter </w:t>
      </w:r>
      <w:hyperlink r:id="rId16" w:history="1">
        <w:r w:rsidRPr="005626D3">
          <w:rPr>
            <w:rStyle w:val="Lienhypertexte"/>
          </w:rPr>
          <w:t>http://www.belgium.be/fr/justice/organisation/tribunaux/</w:t>
        </w:r>
      </w:hyperlink>
    </w:p>
    <w:p w14:paraId="0693B41C" w14:textId="77777777" w:rsidR="005626D3" w:rsidRPr="005626D3" w:rsidRDefault="005626D3" w:rsidP="005626D3"/>
    <w:p w14:paraId="0693B41D" w14:textId="77777777" w:rsidR="005626D3" w:rsidRPr="005626D3" w:rsidRDefault="005626D3" w:rsidP="005626D3"/>
    <w:p w14:paraId="0693B41E" w14:textId="77777777" w:rsidR="005626D3" w:rsidRPr="005626D3" w:rsidRDefault="005626D3" w:rsidP="005626D3">
      <w:pPr>
        <w:jc w:val="both"/>
      </w:pPr>
      <w:r w:rsidRPr="005626D3">
        <w:t>Ajoutons à cette structure deux organismes spécifiques : le Conseil d’Etat et la Cour constitutionnelle.</w:t>
      </w:r>
    </w:p>
    <w:p w14:paraId="0693B41F" w14:textId="77777777" w:rsidR="005626D3" w:rsidRPr="005626D3" w:rsidRDefault="005626D3" w:rsidP="005626D3">
      <w:pPr>
        <w:jc w:val="both"/>
      </w:pPr>
      <w:r w:rsidRPr="005626D3">
        <w:t>Voici ce qu’en dit le site Juridat :</w:t>
      </w:r>
    </w:p>
    <w:p w14:paraId="0693B420" w14:textId="77777777" w:rsidR="005626D3" w:rsidRPr="005626D3" w:rsidRDefault="005626D3" w:rsidP="005626D3">
      <w:pPr>
        <w:jc w:val="both"/>
      </w:pPr>
    </w:p>
    <w:p w14:paraId="0693B421" w14:textId="77777777" w:rsidR="005626D3" w:rsidRPr="005626D3" w:rsidRDefault="005626D3" w:rsidP="005626D3">
      <w:pPr>
        <w:pStyle w:val="Titre3"/>
        <w:rPr>
          <w:rFonts w:ascii="Trebuchet MS" w:hAnsi="Trebuchet MS"/>
        </w:rPr>
      </w:pPr>
      <w:bookmarkStart w:id="32" w:name="_Toc482815568"/>
      <w:r w:rsidRPr="005626D3">
        <w:rPr>
          <w:rFonts w:ascii="Trebuchet MS" w:hAnsi="Trebuchet MS"/>
        </w:rPr>
        <w:t>Conseil d'Etat</w:t>
      </w:r>
      <w:bookmarkEnd w:id="32"/>
    </w:p>
    <w:p w14:paraId="0693B422" w14:textId="77777777" w:rsidR="005626D3" w:rsidRPr="005626D3" w:rsidRDefault="005626D3" w:rsidP="005626D3">
      <w:pPr>
        <w:pStyle w:val="NormalWeb"/>
        <w:jc w:val="both"/>
        <w:rPr>
          <w:rFonts w:ascii="Trebuchet MS" w:hAnsi="Trebuchet MS"/>
        </w:rPr>
      </w:pPr>
      <w:r w:rsidRPr="005626D3">
        <w:rPr>
          <w:rFonts w:ascii="Trebuchet MS" w:hAnsi="Trebuchet MS"/>
        </w:rPr>
        <w:t>Le Conseil d'Etat est une haute juridiction administrative qui contrôle l'administration et intervient lorsque le citoyen estime que l'administration n'a pas respecté la loi.</w:t>
      </w:r>
    </w:p>
    <w:p w14:paraId="0693B423" w14:textId="77777777" w:rsidR="005626D3" w:rsidRPr="005626D3" w:rsidRDefault="005626D3" w:rsidP="005626D3">
      <w:pPr>
        <w:pStyle w:val="NormalWeb"/>
        <w:jc w:val="both"/>
        <w:rPr>
          <w:rFonts w:ascii="Trebuchet MS" w:hAnsi="Trebuchet MS"/>
        </w:rPr>
      </w:pPr>
      <w:r w:rsidRPr="005626D3">
        <w:rPr>
          <w:rFonts w:ascii="Trebuchet MS" w:hAnsi="Trebuchet MS"/>
        </w:rPr>
        <w:t>Cette juridiction est composée d'une section législation et d'une section administration.</w:t>
      </w:r>
    </w:p>
    <w:p w14:paraId="0693B424" w14:textId="77777777" w:rsidR="005626D3" w:rsidRPr="005626D3" w:rsidRDefault="005626D3" w:rsidP="005626D3">
      <w:pPr>
        <w:pStyle w:val="NormalWeb"/>
        <w:jc w:val="both"/>
        <w:rPr>
          <w:rFonts w:ascii="Trebuchet MS" w:hAnsi="Trebuchet MS"/>
        </w:rPr>
      </w:pPr>
      <w:r w:rsidRPr="005626D3">
        <w:rPr>
          <w:rFonts w:ascii="Trebuchet MS" w:hAnsi="Trebuchet MS"/>
        </w:rPr>
        <w:t xml:space="preserve">La </w:t>
      </w:r>
      <w:r w:rsidRPr="005626D3">
        <w:rPr>
          <w:rStyle w:val="lev"/>
          <w:rFonts w:ascii="Trebuchet MS" w:hAnsi="Trebuchet MS"/>
        </w:rPr>
        <w:t>section législation</w:t>
      </w:r>
      <w:r w:rsidRPr="005626D3">
        <w:rPr>
          <w:rFonts w:ascii="Trebuchet MS" w:hAnsi="Trebuchet MS"/>
        </w:rPr>
        <w:t xml:space="preserve"> intervient en tant que conseiller juridique du parlement et du gouvernement lorsque ceux-ci élaborent des lois. Cette juridiction ne se prononce pas sur l'opportunité politique d'une nouvelle loi mais sur ses </w:t>
      </w:r>
      <w:r w:rsidRPr="00267953">
        <w:rPr>
          <w:rFonts w:ascii="Trebuchet MS" w:hAnsi="Trebuchet MS"/>
          <w:u w:val="single"/>
        </w:rPr>
        <w:t>fondements constitutionnels</w:t>
      </w:r>
      <w:r w:rsidRPr="005626D3">
        <w:rPr>
          <w:rFonts w:ascii="Trebuchet MS" w:hAnsi="Trebuchet MS"/>
        </w:rPr>
        <w:t xml:space="preserve"> : elle émet donc un </w:t>
      </w:r>
      <w:r w:rsidRPr="00267953">
        <w:rPr>
          <w:rFonts w:ascii="Trebuchet MS" w:hAnsi="Trebuchet MS"/>
          <w:u w:val="single"/>
        </w:rPr>
        <w:t>avis technique</w:t>
      </w:r>
      <w:r w:rsidRPr="005626D3">
        <w:rPr>
          <w:rFonts w:ascii="Trebuchet MS" w:hAnsi="Trebuchet MS"/>
        </w:rPr>
        <w:t xml:space="preserve">. De plus, son </w:t>
      </w:r>
      <w:r w:rsidRPr="00267953">
        <w:rPr>
          <w:rFonts w:ascii="Trebuchet MS" w:hAnsi="Trebuchet MS"/>
          <w:u w:val="single"/>
        </w:rPr>
        <w:t>avis n'est pas contraignant</w:t>
      </w:r>
      <w:r w:rsidRPr="005626D3">
        <w:rPr>
          <w:rFonts w:ascii="Trebuchet MS" w:hAnsi="Trebuchet MS"/>
        </w:rPr>
        <w:t>.</w:t>
      </w:r>
    </w:p>
    <w:p w14:paraId="0693B425" w14:textId="77777777" w:rsidR="005626D3" w:rsidRPr="005626D3" w:rsidRDefault="005626D3" w:rsidP="005626D3">
      <w:pPr>
        <w:pStyle w:val="NormalWeb"/>
        <w:jc w:val="both"/>
        <w:rPr>
          <w:rFonts w:ascii="Trebuchet MS" w:hAnsi="Trebuchet MS"/>
        </w:rPr>
      </w:pPr>
      <w:r w:rsidRPr="005626D3">
        <w:rPr>
          <w:rFonts w:ascii="Trebuchet MS" w:hAnsi="Trebuchet MS"/>
        </w:rPr>
        <w:lastRenderedPageBreak/>
        <w:t xml:space="preserve">La </w:t>
      </w:r>
      <w:r w:rsidRPr="005626D3">
        <w:rPr>
          <w:rStyle w:val="lev"/>
          <w:rFonts w:ascii="Trebuchet MS" w:hAnsi="Trebuchet MS"/>
        </w:rPr>
        <w:t>section administration</w:t>
      </w:r>
      <w:r w:rsidRPr="005626D3">
        <w:rPr>
          <w:rFonts w:ascii="Trebuchet MS" w:hAnsi="Trebuchet MS"/>
        </w:rPr>
        <w:t xml:space="preserve"> du Conseil d'Etat est une juridiction qui peut </w:t>
      </w:r>
      <w:r w:rsidRPr="00267953">
        <w:rPr>
          <w:rFonts w:ascii="Trebuchet MS" w:hAnsi="Trebuchet MS"/>
          <w:u w:val="single"/>
        </w:rPr>
        <w:t>annuler les actes administratifs</w:t>
      </w:r>
      <w:r w:rsidRPr="005626D3">
        <w:rPr>
          <w:rFonts w:ascii="Trebuchet MS" w:hAnsi="Trebuchet MS"/>
        </w:rPr>
        <w:t xml:space="preserve"> du pouvoir exécutif s'ils sont </w:t>
      </w:r>
      <w:r w:rsidRPr="00267953">
        <w:rPr>
          <w:rFonts w:ascii="Trebuchet MS" w:hAnsi="Trebuchet MS"/>
          <w:u w:val="single"/>
        </w:rPr>
        <w:t>illégaux</w:t>
      </w:r>
      <w:r w:rsidRPr="005626D3">
        <w:rPr>
          <w:rFonts w:ascii="Trebuchet MS" w:hAnsi="Trebuchet MS"/>
        </w:rPr>
        <w:t xml:space="preserve">. Les actes administratifs sont des </w:t>
      </w:r>
      <w:r w:rsidRPr="00267953">
        <w:rPr>
          <w:rFonts w:ascii="Trebuchet MS" w:hAnsi="Trebuchet MS"/>
          <w:u w:val="single"/>
        </w:rPr>
        <w:t>règlements et des actes individuels</w:t>
      </w:r>
      <w:r w:rsidRPr="005626D3">
        <w:rPr>
          <w:rFonts w:ascii="Trebuchet MS" w:hAnsi="Trebuchet MS"/>
        </w:rPr>
        <w:t>. Chaque personne qui peut justifier d'un intérêt peut s'adresser au Conseil d'Etat pour demander l'annulation des actes administratifs. La section ne peut pas annuler les actes du pouvoir législatif comme les lois et les décrets.</w:t>
      </w:r>
    </w:p>
    <w:p w14:paraId="0693B426" w14:textId="77777777" w:rsidR="005626D3" w:rsidRPr="005626D3" w:rsidRDefault="005626D3" w:rsidP="005626D3">
      <w:pPr>
        <w:pStyle w:val="NormalWeb"/>
        <w:jc w:val="both"/>
        <w:rPr>
          <w:rFonts w:ascii="Trebuchet MS" w:hAnsi="Trebuchet MS"/>
        </w:rPr>
      </w:pPr>
      <w:r w:rsidRPr="005626D3">
        <w:rPr>
          <w:rFonts w:ascii="Trebuchet MS" w:hAnsi="Trebuchet MS"/>
        </w:rPr>
        <w:t xml:space="preserve">Le Conseil d'Etat se compose de </w:t>
      </w:r>
      <w:r w:rsidRPr="00267953">
        <w:rPr>
          <w:rFonts w:ascii="Trebuchet MS" w:hAnsi="Trebuchet MS"/>
          <w:u w:val="single"/>
        </w:rPr>
        <w:t>36 membres, de l'auditorat, du bureau de coordination et du greffe</w:t>
      </w:r>
      <w:r w:rsidRPr="005626D3">
        <w:rPr>
          <w:rFonts w:ascii="Trebuchet MS" w:hAnsi="Trebuchet MS"/>
        </w:rPr>
        <w:t>. </w:t>
      </w:r>
    </w:p>
    <w:p w14:paraId="0693B427" w14:textId="77777777" w:rsidR="005626D3" w:rsidRPr="005626D3" w:rsidRDefault="005626D3" w:rsidP="005626D3">
      <w:pPr>
        <w:pStyle w:val="Titre3"/>
        <w:rPr>
          <w:rFonts w:ascii="Trebuchet MS" w:hAnsi="Trebuchet MS"/>
        </w:rPr>
      </w:pPr>
      <w:bookmarkStart w:id="33" w:name="_Toc482815569"/>
      <w:r w:rsidRPr="005626D3">
        <w:rPr>
          <w:rFonts w:ascii="Trebuchet MS" w:hAnsi="Trebuchet MS"/>
        </w:rPr>
        <w:t>Cour constitutionnelle</w:t>
      </w:r>
      <w:bookmarkEnd w:id="33"/>
    </w:p>
    <w:p w14:paraId="0693B428" w14:textId="77777777" w:rsidR="005626D3" w:rsidRPr="005626D3" w:rsidRDefault="005626D3" w:rsidP="005626D3">
      <w:pPr>
        <w:pStyle w:val="NormalWeb"/>
        <w:jc w:val="both"/>
        <w:rPr>
          <w:rFonts w:ascii="Trebuchet MS" w:hAnsi="Trebuchet MS"/>
        </w:rPr>
      </w:pPr>
      <w:r w:rsidRPr="005626D3">
        <w:rPr>
          <w:rFonts w:ascii="Trebuchet MS" w:hAnsi="Trebuchet MS"/>
        </w:rPr>
        <w:t xml:space="preserve">La Cour constitutionnelle est la juridiction qui </w:t>
      </w:r>
      <w:r w:rsidRPr="00267953">
        <w:rPr>
          <w:rFonts w:ascii="Trebuchet MS" w:hAnsi="Trebuchet MS"/>
          <w:u w:val="single"/>
        </w:rPr>
        <w:t>vérifie que les lois, décrets et ordonnances sont bien conformes à certaines dispositions de la Constitution</w:t>
      </w:r>
      <w:r w:rsidRPr="005626D3">
        <w:rPr>
          <w:rFonts w:ascii="Trebuchet MS" w:hAnsi="Trebuchet MS"/>
        </w:rPr>
        <w:t xml:space="preserve">. Elle </w:t>
      </w:r>
      <w:r w:rsidRPr="00267953">
        <w:rPr>
          <w:rFonts w:ascii="Trebuchet MS" w:hAnsi="Trebuchet MS"/>
          <w:u w:val="single"/>
        </w:rPr>
        <w:t>surveille aussi bien la répartition des compétences</w:t>
      </w:r>
      <w:r w:rsidRPr="005626D3">
        <w:rPr>
          <w:rFonts w:ascii="Trebuchet MS" w:hAnsi="Trebuchet MS"/>
        </w:rPr>
        <w:t xml:space="preserve"> entre l'état fédéral (lois) que les communautés et les régions (décrets et ordonnances).</w:t>
      </w:r>
    </w:p>
    <w:p w14:paraId="0693B429" w14:textId="77777777" w:rsidR="005626D3" w:rsidRPr="005626D3" w:rsidRDefault="005626D3" w:rsidP="005626D3">
      <w:pPr>
        <w:pStyle w:val="NormalWeb"/>
        <w:jc w:val="both"/>
        <w:rPr>
          <w:rFonts w:ascii="Trebuchet MS" w:hAnsi="Trebuchet MS"/>
        </w:rPr>
      </w:pPr>
      <w:r w:rsidRPr="005626D3">
        <w:rPr>
          <w:rFonts w:ascii="Trebuchet MS" w:hAnsi="Trebuchet MS"/>
        </w:rPr>
        <w:t>On peut saisir la Cour constitutionnelle de deux manières :</w:t>
      </w:r>
    </w:p>
    <w:p w14:paraId="0693B42A" w14:textId="77777777" w:rsidR="005626D3" w:rsidRPr="005626D3" w:rsidRDefault="005626D3" w:rsidP="0086187F">
      <w:pPr>
        <w:numPr>
          <w:ilvl w:val="0"/>
          <w:numId w:val="54"/>
        </w:numPr>
        <w:spacing w:before="100" w:beforeAutospacing="1" w:after="100" w:afterAutospacing="1"/>
        <w:jc w:val="both"/>
      </w:pPr>
      <w:r w:rsidRPr="005626D3">
        <w:t xml:space="preserve">avec une </w:t>
      </w:r>
      <w:r w:rsidRPr="00267953">
        <w:rPr>
          <w:u w:val="single"/>
        </w:rPr>
        <w:t>requête d'annulation</w:t>
      </w:r>
      <w:r w:rsidRPr="005626D3">
        <w:t xml:space="preserve"> d'une loi ou d'une autre règle ayant la même force. </w:t>
      </w:r>
    </w:p>
    <w:p w14:paraId="0693B42B" w14:textId="77777777" w:rsidR="005626D3" w:rsidRPr="005626D3" w:rsidRDefault="005626D3" w:rsidP="0086187F">
      <w:pPr>
        <w:numPr>
          <w:ilvl w:val="0"/>
          <w:numId w:val="54"/>
        </w:numPr>
        <w:spacing w:before="100" w:beforeAutospacing="1" w:after="100" w:afterAutospacing="1"/>
        <w:jc w:val="both"/>
      </w:pPr>
      <w:r w:rsidRPr="005626D3">
        <w:t xml:space="preserve">quand une autre </w:t>
      </w:r>
      <w:r w:rsidRPr="00267953">
        <w:rPr>
          <w:u w:val="single"/>
        </w:rPr>
        <w:t>juridiction pose une question préjudicielle</w:t>
      </w:r>
      <w:r w:rsidRPr="005626D3">
        <w:t xml:space="preserve"> (une question portant sur la manière dont une procédure doit se dérouler). Cette question doit être réglée avant le début de la procédure. </w:t>
      </w:r>
    </w:p>
    <w:p w14:paraId="0693B42C" w14:textId="77777777" w:rsidR="005626D3" w:rsidRPr="005626D3" w:rsidRDefault="005626D3" w:rsidP="005626D3">
      <w:pPr>
        <w:pStyle w:val="NormalWeb"/>
        <w:jc w:val="both"/>
        <w:rPr>
          <w:rFonts w:ascii="Trebuchet MS" w:hAnsi="Trebuchet MS"/>
        </w:rPr>
      </w:pPr>
      <w:r w:rsidRPr="005626D3">
        <w:rPr>
          <w:rFonts w:ascii="Trebuchet MS" w:hAnsi="Trebuchet MS"/>
        </w:rPr>
        <w:t xml:space="preserve">La Cour se compose de </w:t>
      </w:r>
      <w:r w:rsidRPr="00267953">
        <w:rPr>
          <w:rFonts w:ascii="Trebuchet MS" w:hAnsi="Trebuchet MS"/>
          <w:u w:val="single"/>
        </w:rPr>
        <w:t>douze juges - six francophones et six néerlandophones</w:t>
      </w:r>
      <w:r w:rsidRPr="005626D3">
        <w:rPr>
          <w:rFonts w:ascii="Trebuchet MS" w:hAnsi="Trebuchet MS"/>
        </w:rPr>
        <w:t>. Chaque groupe linguistique est constitué de trois juristes et de trois hommes politiques.</w:t>
      </w:r>
    </w:p>
    <w:p w14:paraId="0693B42D" w14:textId="77777777" w:rsidR="005626D3" w:rsidRDefault="005626D3" w:rsidP="005626D3">
      <w:pPr>
        <w:jc w:val="both"/>
      </w:pPr>
    </w:p>
    <w:p w14:paraId="0693B42E" w14:textId="77777777" w:rsidR="004C64BF" w:rsidRDefault="004C64BF" w:rsidP="00105A84">
      <w:pPr>
        <w:pStyle w:val="Titre2"/>
      </w:pPr>
      <w:bookmarkStart w:id="34" w:name="Champ_d_application_http_users"/>
      <w:bookmarkStart w:id="35" w:name="_Toc482815570"/>
      <w:bookmarkEnd w:id="34"/>
      <w:r>
        <w:t>Champ d’application</w:t>
      </w:r>
      <w:bookmarkEnd w:id="35"/>
      <w:r w:rsidR="006B0D9D">
        <w:t xml:space="preserve"> </w:t>
      </w:r>
      <w:r>
        <w:t xml:space="preserve">  </w:t>
      </w:r>
    </w:p>
    <w:p w14:paraId="0693B42F" w14:textId="77777777" w:rsidR="004C64BF" w:rsidRPr="00DB290B" w:rsidRDefault="004C64BF" w:rsidP="00DB290B">
      <w:pPr>
        <w:spacing w:after="280" w:afterAutospacing="1"/>
        <w:rPr>
          <w:szCs w:val="20"/>
        </w:rPr>
      </w:pPr>
      <w:r w:rsidRPr="00DB290B">
        <w:rPr>
          <w:szCs w:val="20"/>
        </w:rPr>
        <w:t>Source</w:t>
      </w:r>
      <w:r w:rsidR="00DB290B">
        <w:rPr>
          <w:szCs w:val="20"/>
        </w:rPr>
        <w:t> </w:t>
      </w:r>
      <w:r w:rsidRPr="00DB290B">
        <w:rPr>
          <w:szCs w:val="20"/>
        </w:rPr>
        <w:t xml:space="preserve">: </w:t>
      </w:r>
      <w:hyperlink r:id="rId17" w:history="1">
        <w:r w:rsidRPr="00DB290B">
          <w:rPr>
            <w:color w:val="0000FF"/>
            <w:szCs w:val="20"/>
            <w:u w:val="single"/>
          </w:rPr>
          <w:t>http://users.skynet.be/avocats/droitcom.htm</w:t>
        </w:r>
      </w:hyperlink>
      <w:r w:rsidR="00CD7371" w:rsidRPr="00DB290B">
        <w:rPr>
          <w:szCs w:val="20"/>
        </w:rPr>
        <w:t xml:space="preserve"> (site non accessible depuis 2011)</w:t>
      </w:r>
    </w:p>
    <w:p w14:paraId="0693B430" w14:textId="77777777" w:rsidR="004C64BF" w:rsidRPr="00DB290B" w:rsidRDefault="00DB290B" w:rsidP="0005457C">
      <w:pPr>
        <w:pStyle w:val="StyleDivAprs14pt"/>
        <w:rPr>
          <w:sz w:val="20"/>
        </w:rPr>
      </w:pPr>
      <w:r>
        <w:rPr>
          <w:sz w:val="20"/>
          <w:lang w:val="fr-BE"/>
        </w:rPr>
        <w:t>“ </w:t>
      </w:r>
      <w:r w:rsidR="004C64BF" w:rsidRPr="00DB290B">
        <w:rPr>
          <w:sz w:val="20"/>
        </w:rPr>
        <w:t xml:space="preserve">Le droit commercial couvre non seulement les activités commerciales mais aussi les activités industrielles, les activités bancaires, les assurances ainsi que tous les services mis à la disposition des consommateurs : c'est la raison pour laquelle on parle de plus en plus de droit économique plutôt que de droit commercial. </w:t>
      </w:r>
    </w:p>
    <w:p w14:paraId="0693B431" w14:textId="77777777" w:rsidR="004C64BF" w:rsidRPr="00DB290B" w:rsidRDefault="004C64BF" w:rsidP="00DB290B">
      <w:pPr>
        <w:ind w:right="227"/>
        <w:jc w:val="both"/>
        <w:rPr>
          <w:szCs w:val="20"/>
        </w:rPr>
      </w:pPr>
      <w:r w:rsidRPr="00DB290B">
        <w:rPr>
          <w:szCs w:val="20"/>
        </w:rPr>
        <w:t xml:space="preserve">Le Code de commerce fait appel dans ses premiers articles à trois notions pour délimiter le champ d'application du droit commercial : </w:t>
      </w:r>
    </w:p>
    <w:p w14:paraId="0693B432" w14:textId="77777777" w:rsidR="004C64BF" w:rsidRPr="00DB290B" w:rsidRDefault="004C64BF" w:rsidP="00C25C8C">
      <w:pPr>
        <w:pStyle w:val="Li"/>
        <w:numPr>
          <w:ilvl w:val="0"/>
          <w:numId w:val="7"/>
        </w:numPr>
        <w:rPr>
          <w:color w:val="auto"/>
          <w:sz w:val="20"/>
          <w:szCs w:val="20"/>
        </w:rPr>
      </w:pPr>
      <w:r w:rsidRPr="00DB290B">
        <w:rPr>
          <w:color w:val="auto"/>
          <w:sz w:val="20"/>
          <w:szCs w:val="20"/>
        </w:rPr>
        <w:t xml:space="preserve">l'acte de commerce </w:t>
      </w:r>
    </w:p>
    <w:p w14:paraId="0693B433" w14:textId="77777777" w:rsidR="004C64BF" w:rsidRPr="00DB290B" w:rsidRDefault="004C64BF" w:rsidP="00C25C8C">
      <w:pPr>
        <w:pStyle w:val="Li"/>
        <w:numPr>
          <w:ilvl w:val="0"/>
          <w:numId w:val="7"/>
        </w:numPr>
        <w:rPr>
          <w:color w:val="auto"/>
          <w:sz w:val="20"/>
          <w:szCs w:val="20"/>
        </w:rPr>
      </w:pPr>
      <w:r w:rsidRPr="00DB290B">
        <w:rPr>
          <w:color w:val="auto"/>
          <w:sz w:val="20"/>
          <w:szCs w:val="20"/>
        </w:rPr>
        <w:t xml:space="preserve">le commerçant </w:t>
      </w:r>
    </w:p>
    <w:p w14:paraId="0693B434" w14:textId="77777777" w:rsidR="004C64BF" w:rsidRPr="00DB290B" w:rsidRDefault="004C64BF" w:rsidP="00C25C8C">
      <w:pPr>
        <w:pStyle w:val="Li"/>
        <w:numPr>
          <w:ilvl w:val="0"/>
          <w:numId w:val="7"/>
        </w:numPr>
        <w:spacing w:after="280" w:afterAutospacing="1"/>
        <w:rPr>
          <w:color w:val="auto"/>
          <w:sz w:val="20"/>
          <w:szCs w:val="20"/>
        </w:rPr>
      </w:pPr>
      <w:r w:rsidRPr="00DB290B">
        <w:rPr>
          <w:color w:val="auto"/>
          <w:sz w:val="20"/>
          <w:szCs w:val="20"/>
        </w:rPr>
        <w:t xml:space="preserve">l'entreprise </w:t>
      </w:r>
    </w:p>
    <w:p w14:paraId="0693B435" w14:textId="77777777" w:rsidR="004C64BF" w:rsidRPr="00DB290B" w:rsidRDefault="004C64BF" w:rsidP="00DB290B">
      <w:pPr>
        <w:spacing w:after="280" w:afterAutospacing="1"/>
        <w:ind w:right="225"/>
        <w:jc w:val="both"/>
        <w:rPr>
          <w:szCs w:val="20"/>
        </w:rPr>
      </w:pPr>
      <w:r w:rsidRPr="00DB290B">
        <w:rPr>
          <w:szCs w:val="20"/>
        </w:rPr>
        <w:t xml:space="preserve">A l'origine, on considérait que le droit commercial était celui qui s'applique aux actes de commerce. </w:t>
      </w:r>
    </w:p>
    <w:p w14:paraId="0693B436" w14:textId="77777777" w:rsidR="004C64BF" w:rsidRPr="00DB290B" w:rsidRDefault="004C64BF" w:rsidP="00DB290B">
      <w:pPr>
        <w:spacing w:after="280" w:afterAutospacing="1"/>
        <w:ind w:right="225"/>
        <w:jc w:val="both"/>
        <w:rPr>
          <w:szCs w:val="20"/>
        </w:rPr>
      </w:pPr>
      <w:r w:rsidRPr="00DB290B">
        <w:rPr>
          <w:szCs w:val="20"/>
        </w:rPr>
        <w:lastRenderedPageBreak/>
        <w:t xml:space="preserve">Ces actes de commerce confèrent à celui qui les réalise de manière habituelle dans le cadre de sa profession la qualité de commerçant, laquelle a pour effet de conférer à son tour un caractère commercial à des actes normalement civils. </w:t>
      </w:r>
    </w:p>
    <w:p w14:paraId="0693B437" w14:textId="77777777" w:rsidR="004C64BF" w:rsidRPr="00DB290B" w:rsidRDefault="004C64BF" w:rsidP="00DB290B">
      <w:pPr>
        <w:ind w:right="227"/>
        <w:jc w:val="both"/>
        <w:rPr>
          <w:szCs w:val="20"/>
        </w:rPr>
      </w:pPr>
      <w:r w:rsidRPr="00DB290B">
        <w:rPr>
          <w:szCs w:val="20"/>
        </w:rPr>
        <w:t>Actuellement, le Code de commerce reconnaît les catégories suivantes de sociétés commerc</w:t>
      </w:r>
      <w:r w:rsidR="00DB290B">
        <w:rPr>
          <w:szCs w:val="20"/>
        </w:rPr>
        <w:t>iales </w:t>
      </w:r>
      <w:r w:rsidRPr="00DB290B">
        <w:rPr>
          <w:szCs w:val="20"/>
        </w:rPr>
        <w:t xml:space="preserve">: </w:t>
      </w:r>
    </w:p>
    <w:p w14:paraId="0693B438" w14:textId="77777777" w:rsidR="004C64BF" w:rsidRPr="00DB290B" w:rsidRDefault="004C64BF" w:rsidP="00D72393">
      <w:pPr>
        <w:pStyle w:val="Li"/>
        <w:numPr>
          <w:ilvl w:val="0"/>
          <w:numId w:val="8"/>
        </w:numPr>
        <w:spacing w:before="120"/>
        <w:ind w:left="357" w:hanging="357"/>
        <w:rPr>
          <w:color w:val="auto"/>
          <w:sz w:val="20"/>
          <w:szCs w:val="20"/>
        </w:rPr>
      </w:pPr>
      <w:r w:rsidRPr="00DB290B">
        <w:rPr>
          <w:color w:val="auto"/>
          <w:sz w:val="20"/>
          <w:szCs w:val="20"/>
        </w:rPr>
        <w:t xml:space="preserve">la société en nom collectif </w:t>
      </w:r>
      <w:r w:rsidR="00D72393">
        <w:rPr>
          <w:color w:val="auto"/>
          <w:sz w:val="20"/>
          <w:szCs w:val="20"/>
          <w:lang w:val="fr-BE"/>
        </w:rPr>
        <w:t>(SNC) – 2 associés minimum – responsabilité illimitée</w:t>
      </w:r>
    </w:p>
    <w:p w14:paraId="0693B439" w14:textId="77777777" w:rsidR="004C64BF" w:rsidRPr="00DB290B" w:rsidRDefault="004C64BF" w:rsidP="00D72393">
      <w:pPr>
        <w:pStyle w:val="Li"/>
        <w:numPr>
          <w:ilvl w:val="0"/>
          <w:numId w:val="8"/>
        </w:numPr>
        <w:spacing w:before="120"/>
        <w:ind w:left="357" w:hanging="357"/>
        <w:rPr>
          <w:color w:val="auto"/>
          <w:sz w:val="20"/>
          <w:szCs w:val="20"/>
        </w:rPr>
      </w:pPr>
      <w:r w:rsidRPr="00DB290B">
        <w:rPr>
          <w:color w:val="auto"/>
          <w:sz w:val="20"/>
          <w:szCs w:val="20"/>
        </w:rPr>
        <w:t xml:space="preserve">la société en commandite simple </w:t>
      </w:r>
      <w:r w:rsidR="00D72393">
        <w:rPr>
          <w:color w:val="auto"/>
          <w:sz w:val="20"/>
          <w:szCs w:val="20"/>
          <w:lang w:val="fr-BE"/>
        </w:rPr>
        <w:t>(SCS) - 2 associés minimum – responsabilité illimitée</w:t>
      </w:r>
    </w:p>
    <w:p w14:paraId="0693B43A" w14:textId="77777777" w:rsidR="004C64BF" w:rsidRPr="00DB290B" w:rsidRDefault="00105A84" w:rsidP="00D72393">
      <w:pPr>
        <w:pStyle w:val="Li"/>
        <w:numPr>
          <w:ilvl w:val="0"/>
          <w:numId w:val="8"/>
        </w:numPr>
        <w:spacing w:before="120"/>
        <w:ind w:left="357" w:hanging="357"/>
        <w:rPr>
          <w:color w:val="auto"/>
          <w:sz w:val="20"/>
          <w:szCs w:val="20"/>
        </w:rPr>
      </w:pPr>
      <w:hyperlink r:id="rId18" w:history="1">
        <w:r w:rsidR="004C64BF" w:rsidRPr="00DB290B">
          <w:rPr>
            <w:color w:val="auto"/>
            <w:sz w:val="20"/>
            <w:szCs w:val="20"/>
          </w:rPr>
          <w:t>la société en commandite par actions</w:t>
        </w:r>
      </w:hyperlink>
      <w:r w:rsidR="00D72393">
        <w:rPr>
          <w:lang w:val="fr-BE"/>
        </w:rPr>
        <w:t xml:space="preserve"> (SCA)</w:t>
      </w:r>
      <w:r w:rsidR="004C64BF" w:rsidRPr="00DB290B">
        <w:rPr>
          <w:color w:val="auto"/>
          <w:sz w:val="20"/>
          <w:szCs w:val="20"/>
        </w:rPr>
        <w:t xml:space="preserve"> </w:t>
      </w:r>
      <w:r w:rsidR="00D72393">
        <w:rPr>
          <w:color w:val="auto"/>
          <w:sz w:val="20"/>
          <w:szCs w:val="20"/>
          <w:lang w:val="fr-BE"/>
        </w:rPr>
        <w:t>- 2 associés minimum – responsabilité illimitée</w:t>
      </w:r>
    </w:p>
    <w:p w14:paraId="0693B43B" w14:textId="77777777" w:rsidR="004C64BF" w:rsidRPr="00DB290B" w:rsidRDefault="004C64BF" w:rsidP="00D72393">
      <w:pPr>
        <w:pStyle w:val="Li"/>
        <w:numPr>
          <w:ilvl w:val="0"/>
          <w:numId w:val="8"/>
        </w:numPr>
        <w:spacing w:before="120"/>
        <w:ind w:left="357" w:hanging="357"/>
        <w:rPr>
          <w:color w:val="auto"/>
          <w:sz w:val="20"/>
          <w:szCs w:val="20"/>
        </w:rPr>
      </w:pPr>
      <w:r w:rsidRPr="00DB290B">
        <w:rPr>
          <w:color w:val="auto"/>
          <w:sz w:val="20"/>
          <w:szCs w:val="20"/>
        </w:rPr>
        <w:t>la société anonyme</w:t>
      </w:r>
      <w:r w:rsidR="00D72393">
        <w:rPr>
          <w:color w:val="auto"/>
          <w:sz w:val="20"/>
          <w:szCs w:val="20"/>
          <w:lang w:val="fr-BE"/>
        </w:rPr>
        <w:t xml:space="preserve"> (SA)</w:t>
      </w:r>
      <w:r w:rsidRPr="00DB290B">
        <w:rPr>
          <w:color w:val="auto"/>
          <w:sz w:val="20"/>
          <w:szCs w:val="20"/>
        </w:rPr>
        <w:t xml:space="preserve"> </w:t>
      </w:r>
      <w:r w:rsidR="00D72393">
        <w:rPr>
          <w:color w:val="auto"/>
          <w:sz w:val="20"/>
          <w:szCs w:val="20"/>
          <w:lang w:val="fr-BE"/>
        </w:rPr>
        <w:t>- 2 associés minimum – responsabilité limitée (au capital de minimum 61 500 €) – ATTENTION : 3 administrateurs minimum (sauf exceptions) dans le Conseil d’Administration. A ne pas confondre avec le Comité de Direction (composé d’un Administrateur-Délégué + ses directeurs)</w:t>
      </w:r>
    </w:p>
    <w:p w14:paraId="0693B43C" w14:textId="77777777" w:rsidR="004C64BF" w:rsidRPr="00DB290B" w:rsidRDefault="004C64BF" w:rsidP="00D72393">
      <w:pPr>
        <w:pStyle w:val="Li"/>
        <w:numPr>
          <w:ilvl w:val="0"/>
          <w:numId w:val="8"/>
        </w:numPr>
        <w:spacing w:before="120"/>
        <w:ind w:left="357" w:hanging="357"/>
        <w:rPr>
          <w:color w:val="auto"/>
          <w:sz w:val="20"/>
          <w:szCs w:val="20"/>
        </w:rPr>
      </w:pPr>
      <w:r w:rsidRPr="00DB290B">
        <w:rPr>
          <w:color w:val="auto"/>
          <w:sz w:val="20"/>
          <w:szCs w:val="20"/>
        </w:rPr>
        <w:t>la société privée à responsabilité limitée</w:t>
      </w:r>
      <w:r w:rsidR="007E796C">
        <w:rPr>
          <w:color w:val="auto"/>
          <w:sz w:val="20"/>
          <w:szCs w:val="20"/>
          <w:lang w:val="fr-BE"/>
        </w:rPr>
        <w:t xml:space="preserve"> (SPRL)</w:t>
      </w:r>
      <w:r w:rsidRPr="00DB290B">
        <w:rPr>
          <w:color w:val="auto"/>
          <w:sz w:val="20"/>
          <w:szCs w:val="20"/>
        </w:rPr>
        <w:t xml:space="preserve"> </w:t>
      </w:r>
      <w:r w:rsidR="00D72393">
        <w:rPr>
          <w:color w:val="auto"/>
          <w:sz w:val="20"/>
          <w:szCs w:val="20"/>
          <w:lang w:val="fr-BE"/>
        </w:rPr>
        <w:t xml:space="preserve">- </w:t>
      </w:r>
      <w:r w:rsidR="007E796C">
        <w:rPr>
          <w:color w:val="auto"/>
          <w:sz w:val="20"/>
          <w:szCs w:val="20"/>
          <w:lang w:val="fr-BE"/>
        </w:rPr>
        <w:t>2 associés minimum – responsabilité limitée au capital de minimum 18 550 €)</w:t>
      </w:r>
    </w:p>
    <w:p w14:paraId="0693B43D" w14:textId="77777777" w:rsidR="004C64BF" w:rsidRPr="00DB290B" w:rsidRDefault="004C64BF" w:rsidP="00D72393">
      <w:pPr>
        <w:pStyle w:val="Li"/>
        <w:numPr>
          <w:ilvl w:val="0"/>
          <w:numId w:val="8"/>
        </w:numPr>
        <w:spacing w:before="120"/>
        <w:ind w:left="357" w:hanging="357"/>
        <w:rPr>
          <w:color w:val="auto"/>
          <w:sz w:val="20"/>
          <w:szCs w:val="20"/>
        </w:rPr>
      </w:pPr>
      <w:r w:rsidRPr="00DB290B">
        <w:rPr>
          <w:color w:val="auto"/>
          <w:sz w:val="20"/>
          <w:szCs w:val="20"/>
        </w:rPr>
        <w:t xml:space="preserve">la société coopérative" avec ou sans responsabilité limitée </w:t>
      </w:r>
      <w:r w:rsidR="007E796C">
        <w:rPr>
          <w:color w:val="auto"/>
          <w:sz w:val="20"/>
          <w:szCs w:val="20"/>
          <w:lang w:val="fr-BE"/>
        </w:rPr>
        <w:t>(SCRL ou SCRI) – 3 associés minimum. Capital minimum : cf. SPRL.</w:t>
      </w:r>
    </w:p>
    <w:p w14:paraId="0693B43E" w14:textId="77777777" w:rsidR="004C64BF" w:rsidRPr="00602319" w:rsidRDefault="004C64BF" w:rsidP="00D72393">
      <w:pPr>
        <w:pStyle w:val="Li"/>
        <w:numPr>
          <w:ilvl w:val="0"/>
          <w:numId w:val="8"/>
        </w:numPr>
        <w:spacing w:before="120"/>
        <w:ind w:left="357" w:hanging="357"/>
        <w:rPr>
          <w:sz w:val="20"/>
          <w:szCs w:val="20"/>
        </w:rPr>
      </w:pPr>
      <w:r w:rsidRPr="00DB290B">
        <w:rPr>
          <w:sz w:val="20"/>
          <w:szCs w:val="20"/>
        </w:rPr>
        <w:t xml:space="preserve">La société momentanée (n'a pas la personnalité juridique) </w:t>
      </w:r>
      <w:r w:rsidR="00321A18">
        <w:rPr>
          <w:sz w:val="20"/>
          <w:szCs w:val="20"/>
          <w:lang w:val="fr-BE"/>
        </w:rPr>
        <w:t>– cf. constructions</w:t>
      </w:r>
    </w:p>
    <w:p w14:paraId="0693B43F" w14:textId="77777777" w:rsidR="00602319" w:rsidRPr="00DB290B" w:rsidRDefault="00602319" w:rsidP="00D72393">
      <w:pPr>
        <w:pStyle w:val="Li"/>
        <w:numPr>
          <w:ilvl w:val="0"/>
          <w:numId w:val="8"/>
        </w:numPr>
        <w:spacing w:before="120"/>
        <w:ind w:left="357" w:hanging="357"/>
        <w:rPr>
          <w:sz w:val="20"/>
          <w:szCs w:val="20"/>
        </w:rPr>
      </w:pPr>
      <w:r>
        <w:rPr>
          <w:sz w:val="20"/>
          <w:szCs w:val="20"/>
          <w:lang w:val="fr-BE"/>
        </w:rPr>
        <w:t>La société en participation</w:t>
      </w:r>
      <w:r w:rsidR="00321A18">
        <w:rPr>
          <w:sz w:val="20"/>
          <w:szCs w:val="20"/>
          <w:lang w:val="fr-BE"/>
        </w:rPr>
        <w:t xml:space="preserve"> = commissionnaire, société occulte…</w:t>
      </w:r>
    </w:p>
    <w:p w14:paraId="0693B440" w14:textId="77777777" w:rsidR="004C64BF" w:rsidRPr="00DB290B" w:rsidRDefault="004C64BF" w:rsidP="00D72393">
      <w:pPr>
        <w:pStyle w:val="Li"/>
        <w:numPr>
          <w:ilvl w:val="0"/>
          <w:numId w:val="8"/>
        </w:numPr>
        <w:spacing w:before="120"/>
        <w:ind w:left="357" w:hanging="357"/>
        <w:rPr>
          <w:sz w:val="20"/>
          <w:szCs w:val="20"/>
        </w:rPr>
      </w:pPr>
      <w:r w:rsidRPr="00DB290B">
        <w:rPr>
          <w:sz w:val="20"/>
          <w:szCs w:val="20"/>
        </w:rPr>
        <w:t xml:space="preserve">Le groupement d'intérêt économique </w:t>
      </w:r>
      <w:r w:rsidR="00321A18">
        <w:rPr>
          <w:sz w:val="20"/>
          <w:szCs w:val="20"/>
          <w:lang w:val="fr-BE"/>
        </w:rPr>
        <w:t>(GIE) – un minimum de deux sociétés commerciales à RL doivent exister dans au moins deux pays de l’UE.</w:t>
      </w:r>
    </w:p>
    <w:p w14:paraId="0693B441" w14:textId="77777777" w:rsidR="004C64BF" w:rsidRPr="007E796C" w:rsidRDefault="004C64BF" w:rsidP="00D72393">
      <w:pPr>
        <w:pStyle w:val="Li"/>
        <w:numPr>
          <w:ilvl w:val="0"/>
          <w:numId w:val="8"/>
        </w:numPr>
        <w:spacing w:before="120" w:after="280" w:afterAutospacing="1"/>
        <w:ind w:left="357" w:hanging="357"/>
        <w:rPr>
          <w:sz w:val="20"/>
          <w:szCs w:val="20"/>
        </w:rPr>
      </w:pPr>
      <w:r w:rsidRPr="00DB290B">
        <w:rPr>
          <w:sz w:val="20"/>
          <w:szCs w:val="20"/>
        </w:rPr>
        <w:t xml:space="preserve">La société européenne </w:t>
      </w:r>
      <w:r w:rsidR="00321A18">
        <w:rPr>
          <w:sz w:val="20"/>
          <w:szCs w:val="20"/>
          <w:lang w:val="fr-BE"/>
        </w:rPr>
        <w:t>– sociétés à RL représentées dans un moins deux pays de l’UE.</w:t>
      </w:r>
    </w:p>
    <w:p w14:paraId="0693B442" w14:textId="77777777" w:rsidR="007E796C" w:rsidRPr="007E796C" w:rsidRDefault="007E796C" w:rsidP="007E796C">
      <w:pPr>
        <w:pStyle w:val="Li"/>
        <w:spacing w:before="120"/>
        <w:rPr>
          <w:b/>
          <w:sz w:val="20"/>
          <w:szCs w:val="20"/>
          <w:lang w:val="fr-BE"/>
        </w:rPr>
      </w:pPr>
      <w:r w:rsidRPr="007E796C">
        <w:rPr>
          <w:b/>
          <w:sz w:val="20"/>
          <w:szCs w:val="20"/>
          <w:lang w:val="fr-BE"/>
        </w:rPr>
        <w:t xml:space="preserve">Remarque : </w:t>
      </w:r>
    </w:p>
    <w:p w14:paraId="0693B443" w14:textId="77777777" w:rsidR="007E796C" w:rsidRDefault="007E796C" w:rsidP="007E796C">
      <w:pPr>
        <w:pStyle w:val="Li"/>
        <w:rPr>
          <w:sz w:val="20"/>
          <w:szCs w:val="20"/>
          <w:lang w:val="fr-BE"/>
        </w:rPr>
      </w:pPr>
      <w:r>
        <w:rPr>
          <w:sz w:val="20"/>
          <w:szCs w:val="20"/>
          <w:lang w:val="fr-BE"/>
        </w:rPr>
        <w:t>Responsabilité illimitée : un simple écrit (= contrat = statuts) entre associés suffit.</w:t>
      </w:r>
    </w:p>
    <w:p w14:paraId="0693B444" w14:textId="77777777" w:rsidR="007E796C" w:rsidRPr="00DB290B" w:rsidRDefault="007E796C" w:rsidP="007E796C">
      <w:pPr>
        <w:pStyle w:val="Li"/>
        <w:rPr>
          <w:sz w:val="20"/>
          <w:szCs w:val="20"/>
        </w:rPr>
      </w:pPr>
      <w:r>
        <w:rPr>
          <w:sz w:val="20"/>
          <w:szCs w:val="20"/>
          <w:lang w:val="fr-BE"/>
        </w:rPr>
        <w:t xml:space="preserve">Responsabilité limité : il faut signer le contrat de société chez un notaire </w:t>
      </w:r>
      <w:r w:rsidRPr="007E796C">
        <w:rPr>
          <w:sz w:val="20"/>
          <w:szCs w:val="20"/>
          <w:lang w:val="fr-BE"/>
        </w:rPr>
        <w:sym w:font="Wingdings" w:char="F0E8"/>
      </w:r>
      <w:r>
        <w:rPr>
          <w:sz w:val="20"/>
          <w:szCs w:val="20"/>
          <w:lang w:val="fr-BE"/>
        </w:rPr>
        <w:t xml:space="preserve"> acte authentique.</w:t>
      </w:r>
    </w:p>
    <w:p w14:paraId="0693B445" w14:textId="77777777" w:rsidR="004C64BF" w:rsidRDefault="004C64BF" w:rsidP="00105A84">
      <w:pPr>
        <w:pStyle w:val="Titre2"/>
      </w:pPr>
      <w:bookmarkStart w:id="36" w:name="Sources_8428013883531094_34755_682634176"/>
      <w:bookmarkStart w:id="37" w:name="_Toc482815571"/>
      <w:bookmarkEnd w:id="36"/>
      <w:r>
        <w:t>Sources</w:t>
      </w:r>
      <w:bookmarkEnd w:id="37"/>
      <w:r>
        <w:t xml:space="preserve"> </w:t>
      </w:r>
    </w:p>
    <w:p w14:paraId="1CB3B8B1" w14:textId="35C12FAD" w:rsidR="00EA5D11" w:rsidRPr="00EA5D11" w:rsidRDefault="00EA5D11" w:rsidP="00C25C8C">
      <w:pPr>
        <w:pStyle w:val="Li"/>
        <w:numPr>
          <w:ilvl w:val="0"/>
          <w:numId w:val="9"/>
        </w:numPr>
        <w:rPr>
          <w:sz w:val="20"/>
          <w:szCs w:val="20"/>
        </w:rPr>
      </w:pPr>
      <w:r>
        <w:rPr>
          <w:sz w:val="20"/>
          <w:szCs w:val="20"/>
          <w:lang w:val="fr-BE"/>
        </w:rPr>
        <w:t>Constitution</w:t>
      </w:r>
    </w:p>
    <w:p w14:paraId="0693B446" w14:textId="77777777" w:rsidR="004C64BF" w:rsidRPr="00DB290B" w:rsidRDefault="004C64BF" w:rsidP="00C25C8C">
      <w:pPr>
        <w:pStyle w:val="Li"/>
        <w:numPr>
          <w:ilvl w:val="0"/>
          <w:numId w:val="9"/>
        </w:numPr>
        <w:rPr>
          <w:sz w:val="20"/>
          <w:szCs w:val="20"/>
        </w:rPr>
      </w:pPr>
      <w:r w:rsidRPr="00DB290B">
        <w:rPr>
          <w:sz w:val="20"/>
          <w:szCs w:val="20"/>
        </w:rPr>
        <w:t xml:space="preserve">Loi </w:t>
      </w:r>
    </w:p>
    <w:p w14:paraId="0445696B" w14:textId="77777777" w:rsidR="00B233FD" w:rsidRPr="00DB290B" w:rsidRDefault="00B233FD" w:rsidP="00B233FD">
      <w:pPr>
        <w:pStyle w:val="Li"/>
        <w:numPr>
          <w:ilvl w:val="0"/>
          <w:numId w:val="9"/>
        </w:numPr>
        <w:rPr>
          <w:sz w:val="20"/>
          <w:szCs w:val="20"/>
        </w:rPr>
      </w:pPr>
      <w:r w:rsidRPr="00DB290B">
        <w:rPr>
          <w:sz w:val="20"/>
          <w:szCs w:val="20"/>
        </w:rPr>
        <w:t xml:space="preserve">Jurisprudence </w:t>
      </w:r>
    </w:p>
    <w:p w14:paraId="0693B447" w14:textId="77777777" w:rsidR="004C64BF" w:rsidRPr="00DB290B" w:rsidRDefault="004C64BF" w:rsidP="00C25C8C">
      <w:pPr>
        <w:pStyle w:val="Li"/>
        <w:numPr>
          <w:ilvl w:val="0"/>
          <w:numId w:val="9"/>
        </w:numPr>
        <w:rPr>
          <w:sz w:val="20"/>
          <w:szCs w:val="20"/>
        </w:rPr>
      </w:pPr>
      <w:r w:rsidRPr="00DB290B">
        <w:rPr>
          <w:sz w:val="20"/>
          <w:szCs w:val="20"/>
        </w:rPr>
        <w:t xml:space="preserve">Coutumes </w:t>
      </w:r>
    </w:p>
    <w:p w14:paraId="0693B449" w14:textId="77777777" w:rsidR="004C64BF" w:rsidRPr="00DB290B" w:rsidRDefault="004C64BF" w:rsidP="00C25C8C">
      <w:pPr>
        <w:pStyle w:val="Li"/>
        <w:numPr>
          <w:ilvl w:val="0"/>
          <w:numId w:val="9"/>
        </w:numPr>
        <w:rPr>
          <w:sz w:val="20"/>
          <w:szCs w:val="20"/>
        </w:rPr>
      </w:pPr>
      <w:r w:rsidRPr="00DB290B">
        <w:rPr>
          <w:sz w:val="20"/>
          <w:szCs w:val="20"/>
        </w:rPr>
        <w:t xml:space="preserve">Doctrine </w:t>
      </w:r>
    </w:p>
    <w:p w14:paraId="0693B44A" w14:textId="77777777" w:rsidR="004C64BF" w:rsidRPr="001A0140" w:rsidRDefault="004C64BF" w:rsidP="00C25C8C">
      <w:pPr>
        <w:pStyle w:val="Li"/>
        <w:numPr>
          <w:ilvl w:val="0"/>
          <w:numId w:val="9"/>
        </w:numPr>
        <w:spacing w:after="280" w:afterAutospacing="1"/>
        <w:rPr>
          <w:sz w:val="20"/>
          <w:szCs w:val="20"/>
        </w:rPr>
      </w:pPr>
      <w:r w:rsidRPr="00DB290B">
        <w:rPr>
          <w:sz w:val="20"/>
          <w:szCs w:val="20"/>
        </w:rPr>
        <w:t xml:space="preserve">Equité  </w:t>
      </w:r>
    </w:p>
    <w:p w14:paraId="0693B44B" w14:textId="77777777" w:rsidR="001A0140" w:rsidRDefault="001A0140" w:rsidP="001A0140">
      <w:pPr>
        <w:pStyle w:val="Li"/>
        <w:spacing w:after="280" w:afterAutospacing="1"/>
        <w:rPr>
          <w:sz w:val="20"/>
          <w:szCs w:val="20"/>
          <w:lang w:val="fr-BE"/>
        </w:rPr>
      </w:pPr>
      <w:r>
        <w:rPr>
          <w:sz w:val="20"/>
          <w:szCs w:val="20"/>
          <w:lang w:val="fr-BE"/>
        </w:rPr>
        <w:t xml:space="preserve">Une excellente synthèse des sources de droit a été rédigée par </w:t>
      </w:r>
      <w:hyperlink r:id="rId19" w:history="1">
        <w:r w:rsidRPr="00C3696D">
          <w:rPr>
            <w:rStyle w:val="Lienhypertexte"/>
            <w:sz w:val="20"/>
            <w:szCs w:val="20"/>
            <w:lang w:val="fr-BE"/>
          </w:rPr>
          <w:t>http://www.avocats-legalex-namur.be/introduction-droit/sources-droit.html</w:t>
        </w:r>
      </w:hyperlink>
      <w:r>
        <w:rPr>
          <w:sz w:val="20"/>
          <w:szCs w:val="20"/>
          <w:lang w:val="fr-BE"/>
        </w:rPr>
        <w:t>.</w:t>
      </w:r>
    </w:p>
    <w:p w14:paraId="0693B44C" w14:textId="77777777" w:rsidR="001A0140" w:rsidRPr="00DB290B" w:rsidRDefault="001A0140" w:rsidP="001A0140">
      <w:pPr>
        <w:pStyle w:val="Li"/>
        <w:spacing w:after="280" w:afterAutospacing="1"/>
        <w:rPr>
          <w:sz w:val="20"/>
          <w:szCs w:val="20"/>
        </w:rPr>
      </w:pPr>
    </w:p>
    <w:p w14:paraId="0693B44D" w14:textId="77777777" w:rsidR="004C64BF" w:rsidRDefault="004C64BF" w:rsidP="00105A84">
      <w:pPr>
        <w:pStyle w:val="Titre2"/>
      </w:pPr>
      <w:bookmarkStart w:id="38" w:name="Liens_avec_le_droit_civil_3962"/>
      <w:bookmarkStart w:id="39" w:name="_Toc482815572"/>
      <w:bookmarkEnd w:id="38"/>
      <w:r>
        <w:t>Liens avec le droit civil</w:t>
      </w:r>
      <w:bookmarkEnd w:id="39"/>
      <w:r>
        <w:t xml:space="preserve"> </w:t>
      </w:r>
    </w:p>
    <w:p w14:paraId="0693B44E" w14:textId="77777777" w:rsidR="004C64BF" w:rsidRPr="00DB290B" w:rsidRDefault="004C64BF" w:rsidP="0005457C">
      <w:pPr>
        <w:pStyle w:val="StyleDivAprs14pt"/>
        <w:rPr>
          <w:sz w:val="20"/>
        </w:rPr>
      </w:pPr>
      <w:r w:rsidRPr="00DB290B">
        <w:rPr>
          <w:sz w:val="20"/>
        </w:rPr>
        <w:t xml:space="preserve">Le droit commercial provient du droit civil. </w:t>
      </w:r>
    </w:p>
    <w:p w14:paraId="0693B44F" w14:textId="77777777" w:rsidR="004C64BF" w:rsidRPr="00DB290B" w:rsidRDefault="004C64BF" w:rsidP="0005457C">
      <w:pPr>
        <w:pStyle w:val="StyleDivAprs14pt"/>
        <w:rPr>
          <w:sz w:val="20"/>
        </w:rPr>
      </w:pPr>
      <w:r w:rsidRPr="00DB290B">
        <w:rPr>
          <w:sz w:val="20"/>
        </w:rPr>
        <w:t xml:space="preserve">La base du droit commercial issue du droit civil est le contrat (dont le contrat de société), et donc les obligations.  </w:t>
      </w:r>
    </w:p>
    <w:p w14:paraId="0693B450" w14:textId="77777777" w:rsidR="004C64BF" w:rsidRPr="00DB290B" w:rsidRDefault="004C64BF" w:rsidP="0005457C">
      <w:pPr>
        <w:pStyle w:val="StyleDivAprs14pt"/>
        <w:rPr>
          <w:sz w:val="20"/>
        </w:rPr>
      </w:pPr>
      <w:r w:rsidRPr="00DB290B">
        <w:rPr>
          <w:sz w:val="20"/>
        </w:rPr>
        <w:t xml:space="preserve">Voir en particulier les articles 1713 à 1762. </w:t>
      </w:r>
    </w:p>
    <w:p w14:paraId="0693B451" w14:textId="77777777" w:rsidR="004C64BF" w:rsidRDefault="004C64BF" w:rsidP="00105A84">
      <w:pPr>
        <w:pStyle w:val="Titre2"/>
      </w:pPr>
      <w:bookmarkStart w:id="40" w:name="Comp_tence_des_tribunaux_de_co"/>
      <w:bookmarkStart w:id="41" w:name="_Toc482815573"/>
      <w:bookmarkEnd w:id="40"/>
      <w:r>
        <w:lastRenderedPageBreak/>
        <w:t>Compétence des tribunaux de commerce</w:t>
      </w:r>
      <w:bookmarkEnd w:id="41"/>
      <w:r>
        <w:t xml:space="preserve"> </w:t>
      </w:r>
    </w:p>
    <w:p w14:paraId="0693B452" w14:textId="77777777" w:rsidR="004C64BF" w:rsidRPr="00DB290B" w:rsidRDefault="004C64BF" w:rsidP="0005457C">
      <w:pPr>
        <w:pStyle w:val="StyleDivAprs14pt"/>
        <w:rPr>
          <w:sz w:val="20"/>
        </w:rPr>
      </w:pPr>
      <w:r w:rsidRPr="00DB290B">
        <w:rPr>
          <w:sz w:val="20"/>
        </w:rPr>
        <w:t>Source</w:t>
      </w:r>
      <w:r w:rsidR="00DB290B" w:rsidRPr="00DB290B">
        <w:rPr>
          <w:sz w:val="20"/>
          <w:lang w:val="fr-BE"/>
        </w:rPr>
        <w:t> </w:t>
      </w:r>
      <w:r w:rsidRPr="00DB290B">
        <w:rPr>
          <w:sz w:val="20"/>
        </w:rPr>
        <w:t xml:space="preserve">: </w:t>
      </w:r>
      <w:hyperlink r:id="rId20" w:history="1">
        <w:r w:rsidRPr="00DB290B">
          <w:rPr>
            <w:color w:val="0000FF"/>
            <w:sz w:val="20"/>
            <w:u w:val="single"/>
          </w:rPr>
          <w:t>http://fr.wikipedia.org/wiki/Tribunal_de_commerce_(Belgique)</w:t>
        </w:r>
      </w:hyperlink>
      <w:r w:rsidRPr="00DB290B">
        <w:rPr>
          <w:sz w:val="20"/>
        </w:rPr>
        <w:t xml:space="preserve"> </w:t>
      </w:r>
    </w:p>
    <w:p w14:paraId="0693B453" w14:textId="77777777" w:rsidR="004C64BF" w:rsidRPr="00DB290B" w:rsidRDefault="00DB290B" w:rsidP="00DB290B">
      <w:pPr>
        <w:pStyle w:val="StyleDivAprs14pt"/>
        <w:spacing w:after="0"/>
        <w:rPr>
          <w:sz w:val="20"/>
        </w:rPr>
      </w:pPr>
      <w:r w:rsidRPr="00DB290B">
        <w:rPr>
          <w:sz w:val="20"/>
          <w:lang w:val="fr-BE"/>
        </w:rPr>
        <w:t>“ </w:t>
      </w:r>
      <w:r w:rsidR="004C64BF" w:rsidRPr="00DB290B">
        <w:rPr>
          <w:sz w:val="20"/>
        </w:rPr>
        <w:t xml:space="preserve">En Belgique, le </w:t>
      </w:r>
      <w:r w:rsidR="004C64BF" w:rsidRPr="00DB290B">
        <w:rPr>
          <w:b/>
          <w:sz w:val="20"/>
        </w:rPr>
        <w:t>tribunal de commerce</w:t>
      </w:r>
      <w:r w:rsidR="004C64BF" w:rsidRPr="00DB290B">
        <w:rPr>
          <w:sz w:val="20"/>
        </w:rPr>
        <w:t xml:space="preserve"> traite en </w:t>
      </w:r>
      <w:hyperlink r:id="rId21" w:history="1">
        <w:r w:rsidR="004C64BF" w:rsidRPr="00DB290B">
          <w:rPr>
            <w:color w:val="002BB8"/>
            <w:sz w:val="20"/>
            <w:u w:val="single"/>
          </w:rPr>
          <w:t>premier ressort</w:t>
        </w:r>
      </w:hyperlink>
      <w:r w:rsidR="004C64BF" w:rsidRPr="00DB290B">
        <w:rPr>
          <w:sz w:val="20"/>
        </w:rPr>
        <w:t xml:space="preserve"> les demandes de </w:t>
      </w:r>
      <w:hyperlink r:id="rId22" w:history="1">
        <w:r w:rsidR="004C64BF" w:rsidRPr="00DB290B">
          <w:rPr>
            <w:color w:val="002BB8"/>
            <w:sz w:val="20"/>
            <w:u w:val="single"/>
          </w:rPr>
          <w:t>justice</w:t>
        </w:r>
      </w:hyperlink>
      <w:r w:rsidR="004C64BF" w:rsidRPr="00DB290B">
        <w:rPr>
          <w:sz w:val="20"/>
        </w:rPr>
        <w:t xml:space="preserve"> suivantes</w:t>
      </w:r>
      <w:r w:rsidRPr="00DB290B">
        <w:rPr>
          <w:sz w:val="20"/>
          <w:lang w:val="fr-BE"/>
        </w:rPr>
        <w:t> </w:t>
      </w:r>
      <w:r w:rsidR="004C64BF" w:rsidRPr="00DB290B">
        <w:rPr>
          <w:sz w:val="20"/>
        </w:rPr>
        <w:t xml:space="preserve">: </w:t>
      </w:r>
    </w:p>
    <w:p w14:paraId="0693B454" w14:textId="77777777" w:rsidR="004C64BF" w:rsidRPr="00DB290B" w:rsidRDefault="004C64BF" w:rsidP="00C25C8C">
      <w:pPr>
        <w:pStyle w:val="Li"/>
        <w:numPr>
          <w:ilvl w:val="0"/>
          <w:numId w:val="10"/>
        </w:numPr>
        <w:rPr>
          <w:sz w:val="20"/>
          <w:szCs w:val="20"/>
        </w:rPr>
      </w:pPr>
      <w:r w:rsidRPr="00DB290B">
        <w:rPr>
          <w:sz w:val="20"/>
          <w:szCs w:val="20"/>
        </w:rPr>
        <w:t xml:space="preserve">les contestations entre commerçants relatives aux actes réputés commerciaux par la </w:t>
      </w:r>
      <w:hyperlink r:id="rId23" w:history="1">
        <w:r w:rsidRPr="00DB290B">
          <w:rPr>
            <w:color w:val="002BB8"/>
            <w:sz w:val="20"/>
            <w:szCs w:val="20"/>
            <w:u w:val="single"/>
          </w:rPr>
          <w:t>loi</w:t>
        </w:r>
      </w:hyperlink>
      <w:r w:rsidRPr="00DB290B">
        <w:rPr>
          <w:sz w:val="20"/>
          <w:szCs w:val="20"/>
        </w:rPr>
        <w:t xml:space="preserve"> et qui ne sont pas de la compétence générale du </w:t>
      </w:r>
      <w:hyperlink r:id="rId24" w:history="1">
        <w:r w:rsidRPr="00DB290B">
          <w:rPr>
            <w:color w:val="002BB8"/>
            <w:sz w:val="20"/>
            <w:szCs w:val="20"/>
            <w:u w:val="single"/>
          </w:rPr>
          <w:t>juge de paix</w:t>
        </w:r>
      </w:hyperlink>
      <w:r w:rsidRPr="00DB290B">
        <w:rPr>
          <w:sz w:val="20"/>
          <w:szCs w:val="20"/>
        </w:rPr>
        <w:t xml:space="preserve">. </w:t>
      </w:r>
    </w:p>
    <w:p w14:paraId="0693B455" w14:textId="77777777" w:rsidR="004C64BF" w:rsidRPr="00DB290B" w:rsidRDefault="004C64BF" w:rsidP="00C25C8C">
      <w:pPr>
        <w:pStyle w:val="Li"/>
        <w:numPr>
          <w:ilvl w:val="0"/>
          <w:numId w:val="10"/>
        </w:numPr>
        <w:spacing w:after="280" w:afterAutospacing="1"/>
        <w:rPr>
          <w:sz w:val="20"/>
          <w:szCs w:val="20"/>
        </w:rPr>
      </w:pPr>
      <w:r w:rsidRPr="00DB290B">
        <w:rPr>
          <w:sz w:val="20"/>
          <w:szCs w:val="20"/>
        </w:rPr>
        <w:t xml:space="preserve">les contestations en matière de </w:t>
      </w:r>
      <w:hyperlink r:id="rId25" w:history="1">
        <w:r w:rsidRPr="00DB290B">
          <w:rPr>
            <w:color w:val="002BB8"/>
            <w:sz w:val="20"/>
            <w:szCs w:val="20"/>
            <w:u w:val="single"/>
          </w:rPr>
          <w:t>faillite</w:t>
        </w:r>
      </w:hyperlink>
      <w:r w:rsidRPr="00DB290B">
        <w:rPr>
          <w:sz w:val="20"/>
          <w:szCs w:val="20"/>
        </w:rPr>
        <w:t xml:space="preserve">, en matière maritime et fluviale, en matière de </w:t>
      </w:r>
      <w:hyperlink r:id="rId26" w:history="1">
        <w:r w:rsidRPr="00DB290B">
          <w:rPr>
            <w:color w:val="002BB8"/>
            <w:sz w:val="20"/>
            <w:szCs w:val="20"/>
            <w:u w:val="single"/>
          </w:rPr>
          <w:t>société de commerce</w:t>
        </w:r>
      </w:hyperlink>
      <w:r w:rsidRPr="00DB290B">
        <w:rPr>
          <w:sz w:val="20"/>
          <w:szCs w:val="20"/>
        </w:rPr>
        <w:t xml:space="preserve">,...) ou lorsque les parties ont recours à un instrument typiquement commercial (par exemple, </w:t>
      </w:r>
      <w:r w:rsidR="002B5597">
        <w:rPr>
          <w:sz w:val="20"/>
          <w:szCs w:val="20"/>
          <w:lang w:val="fr-BE"/>
        </w:rPr>
        <w:t xml:space="preserve">les crédits aux entreprises qui fonctionnent selon le principe de la </w:t>
      </w:r>
      <w:hyperlink r:id="rId27" w:history="1">
        <w:r w:rsidRPr="00DB290B">
          <w:rPr>
            <w:color w:val="002BB8"/>
            <w:sz w:val="20"/>
            <w:szCs w:val="20"/>
            <w:u w:val="single"/>
          </w:rPr>
          <w:t>lettre de change</w:t>
        </w:r>
      </w:hyperlink>
      <w:r w:rsidR="002B5597">
        <w:rPr>
          <w:sz w:val="20"/>
          <w:szCs w:val="20"/>
          <w:lang w:val="fr-BE"/>
        </w:rPr>
        <w:t xml:space="preserve"> ou du</w:t>
      </w:r>
      <w:r w:rsidRPr="00DB290B">
        <w:rPr>
          <w:sz w:val="20"/>
          <w:szCs w:val="20"/>
        </w:rPr>
        <w:t xml:space="preserve"> </w:t>
      </w:r>
      <w:hyperlink r:id="rId28" w:history="1">
        <w:r w:rsidRPr="00DB290B">
          <w:rPr>
            <w:color w:val="002BB8"/>
            <w:sz w:val="20"/>
            <w:szCs w:val="20"/>
            <w:u w:val="single"/>
          </w:rPr>
          <w:t>billet à ordre</w:t>
        </w:r>
      </w:hyperlink>
      <w:r w:rsidRPr="00DB290B">
        <w:rPr>
          <w:sz w:val="20"/>
          <w:szCs w:val="20"/>
        </w:rPr>
        <w:t>), mais à nouveau uniquement si le</w:t>
      </w:r>
      <w:r w:rsidR="00D2322F">
        <w:rPr>
          <w:sz w:val="20"/>
          <w:szCs w:val="20"/>
        </w:rPr>
        <w:t xml:space="preserve"> montant contesté dépasse 1 860</w:t>
      </w:r>
      <w:r w:rsidR="00D2322F">
        <w:rPr>
          <w:sz w:val="20"/>
          <w:szCs w:val="20"/>
          <w:lang w:val="fr-BE"/>
        </w:rPr>
        <w:t> </w:t>
      </w:r>
      <w:r w:rsidRPr="00DB290B">
        <w:rPr>
          <w:sz w:val="20"/>
          <w:szCs w:val="20"/>
        </w:rPr>
        <w:t xml:space="preserve">€. </w:t>
      </w:r>
    </w:p>
    <w:p w14:paraId="0693B456" w14:textId="77777777" w:rsidR="004C64BF" w:rsidRDefault="004C64BF" w:rsidP="006F75CE">
      <w:pPr>
        <w:pStyle w:val="StyleAprs14pt"/>
      </w:pPr>
      <w:r>
        <w:t xml:space="preserve">En outre, un non-commerçant qui entame un procès contre un commerçant a la faculté, s'il le préfère, de porter l'affaire devant un tribunal de commerce. Par contre, un commerçant ne peut entamer aucune procédure devant le tribunal de commerce contre un non-commerçant. À noter que dans les tribunaux de commerce siègent aussi des juges n'ayant pas une formation juridique les </w:t>
      </w:r>
      <w:r>
        <w:rPr>
          <w:i/>
        </w:rPr>
        <w:t>juges consulaires</w:t>
      </w:r>
      <w:r>
        <w:t xml:space="preserve"> qui représentent les milieux d'affaires. </w:t>
      </w:r>
    </w:p>
    <w:p w14:paraId="0693B457" w14:textId="77777777" w:rsidR="004C64BF" w:rsidRDefault="004C64BF" w:rsidP="006F75CE">
      <w:pPr>
        <w:pStyle w:val="StyleAprs14pt"/>
      </w:pPr>
      <w:r>
        <w:t xml:space="preserve">Enfin, le tribunal de commerce connaît des </w:t>
      </w:r>
      <w:hyperlink r:id="rId29" w:history="1">
        <w:r>
          <w:rPr>
            <w:color w:val="002BB8"/>
            <w:u w:val="single"/>
          </w:rPr>
          <w:t>appels</w:t>
        </w:r>
      </w:hyperlink>
      <w:r>
        <w:t xml:space="preserve"> de </w:t>
      </w:r>
      <w:hyperlink r:id="rId30" w:history="1">
        <w:r>
          <w:rPr>
            <w:color w:val="BA0000"/>
            <w:u w:val="single"/>
          </w:rPr>
          <w:t>jugements</w:t>
        </w:r>
      </w:hyperlink>
      <w:r>
        <w:t xml:space="preserve"> rendus par le juge de paix en matière commerciale et en matière de lettres de change. </w:t>
      </w:r>
    </w:p>
    <w:p w14:paraId="0693B458" w14:textId="77777777" w:rsidR="004C64BF" w:rsidRDefault="004C64BF" w:rsidP="006F75CE">
      <w:pPr>
        <w:pStyle w:val="StyleAprs14pt"/>
      </w:pPr>
      <w:r>
        <w:t xml:space="preserve">En cas d'urgence, le </w:t>
      </w:r>
      <w:hyperlink r:id="rId31" w:history="1">
        <w:r>
          <w:rPr>
            <w:color w:val="BA0000"/>
            <w:u w:val="single"/>
          </w:rPr>
          <w:t>président du tribunal</w:t>
        </w:r>
      </w:hyperlink>
      <w:r>
        <w:t xml:space="preserve"> peut prendre une décision provisoire dans les affaires traitées par son tribunal. </w:t>
      </w:r>
    </w:p>
    <w:p w14:paraId="0693B459" w14:textId="77777777" w:rsidR="004C64BF" w:rsidRDefault="004C64BF" w:rsidP="006F75CE">
      <w:pPr>
        <w:pStyle w:val="StyleAprs14pt"/>
      </w:pPr>
      <w:r>
        <w:t xml:space="preserve">Les tribunaux de commerce relèvent chacun d'un </w:t>
      </w:r>
      <w:hyperlink r:id="rId32" w:history="1">
        <w:r>
          <w:rPr>
            <w:color w:val="002BB8"/>
            <w:u w:val="single"/>
          </w:rPr>
          <w:t>arrondissement judiciaire</w:t>
        </w:r>
      </w:hyperlink>
      <w:r w:rsidR="00DB290B">
        <w:t>. ”</w:t>
      </w:r>
    </w:p>
    <w:p w14:paraId="0693B45A" w14:textId="77777777" w:rsidR="00B816B9" w:rsidRDefault="00B816B9" w:rsidP="00105A84">
      <w:pPr>
        <w:pStyle w:val="Titre2"/>
      </w:pPr>
      <w:bookmarkStart w:id="42" w:name="Bonus_Comparaison_des_r_gimes__534103272"/>
      <w:bookmarkStart w:id="43" w:name="_Toc482815574"/>
      <w:bookmarkEnd w:id="42"/>
      <w:r>
        <w:t xml:space="preserve">Conception objective et conception subjective </w:t>
      </w:r>
      <w:r w:rsidR="00494541">
        <w:t>du droit</w:t>
      </w:r>
      <w:bookmarkEnd w:id="43"/>
    </w:p>
    <w:p w14:paraId="0693B45B" w14:textId="123FC1C1" w:rsidR="00B816B9" w:rsidRDefault="00B816B9" w:rsidP="00B816B9">
      <w:pPr>
        <w:pStyle w:val="Titre3"/>
      </w:pPr>
      <w:bookmarkStart w:id="44" w:name="_Toc482815575"/>
      <w:r>
        <w:t>Conception objective</w:t>
      </w:r>
      <w:r w:rsidR="00F67B22">
        <w:t xml:space="preserve"> du droit</w:t>
      </w:r>
      <w:bookmarkEnd w:id="44"/>
    </w:p>
    <w:p w14:paraId="0693B45C" w14:textId="77777777" w:rsidR="00B816B9" w:rsidRDefault="00494541" w:rsidP="00B816B9">
      <w:pPr>
        <w:jc w:val="both"/>
      </w:pPr>
      <w:r>
        <w:t>Résultant d’une approche « top – down », “ L</w:t>
      </w:r>
      <w:r w:rsidR="00B816B9" w:rsidRPr="00B816B9">
        <w:t>e droit objectif est l'ensemble des règles juridiques obligatoires applicables dans un pays. Ces règles sont établies par le pouvoir régulièrement en place dans le pays et sont destinées au maintien de l'ordre et de la sécurité, et par suite à «</w:t>
      </w:r>
      <w:r w:rsidR="00B816B9">
        <w:t> </w:t>
      </w:r>
      <w:r w:rsidR="00B816B9" w:rsidRPr="00B816B9">
        <w:t>préserver les intérêts subjectifs légitimes et de réprimer les intérêts subjectifs illégi</w:t>
      </w:r>
      <w:r w:rsidR="00B816B9">
        <w:t>times (Huguette Jones, 2002-03) </w:t>
      </w:r>
      <w:r w:rsidR="00B816B9" w:rsidRPr="00B816B9">
        <w:t>»</w:t>
      </w:r>
      <w:r>
        <w:t> ”</w:t>
      </w:r>
      <w:r w:rsidR="00B816B9">
        <w:rPr>
          <w:rStyle w:val="Appelnotedebasdep"/>
        </w:rPr>
        <w:footnoteReference w:id="4"/>
      </w:r>
      <w:r w:rsidR="00B816B9" w:rsidRPr="00B816B9">
        <w:t>.</w:t>
      </w:r>
    </w:p>
    <w:p w14:paraId="0693B45D" w14:textId="32F8D3F8" w:rsidR="00494541" w:rsidRDefault="00494541" w:rsidP="00494541">
      <w:pPr>
        <w:pStyle w:val="Titre3"/>
      </w:pPr>
      <w:bookmarkStart w:id="45" w:name="_Toc482815576"/>
      <w:r>
        <w:t>Conception subjective</w:t>
      </w:r>
      <w:r w:rsidR="00F67B22">
        <w:t xml:space="preserve"> du droit</w:t>
      </w:r>
      <w:bookmarkEnd w:id="45"/>
    </w:p>
    <w:p w14:paraId="0693B45E" w14:textId="77777777" w:rsidR="00494541" w:rsidRDefault="00494541" w:rsidP="00494541">
      <w:pPr>
        <w:jc w:val="both"/>
      </w:pPr>
      <w:r>
        <w:t>Inversement, l’approche « Bottom – up » du droit conduit à la conception subjective du droit : « Les droits subjectifs sont l'ensemble des prérogatives reconnues à l'individu par le droit objectif. Ils sont opposables aux tiers. Ce sont par exemple, le droit de propriété, le droit de créance, (le droit de possession), le droit à la vie ... On parle alors plus volontiers des droits.</w:t>
      </w:r>
    </w:p>
    <w:p w14:paraId="0693B45F" w14:textId="77777777" w:rsidR="00494541" w:rsidRDefault="00494541" w:rsidP="00494541">
      <w:pPr>
        <w:jc w:val="both"/>
      </w:pPr>
      <w:r>
        <w:t>Un droit subjectif peut être absolu ou relatif :</w:t>
      </w:r>
    </w:p>
    <w:p w14:paraId="0693B460" w14:textId="77777777" w:rsidR="00494541" w:rsidRDefault="00494541" w:rsidP="00494541">
      <w:pPr>
        <w:numPr>
          <w:ilvl w:val="0"/>
          <w:numId w:val="69"/>
        </w:numPr>
        <w:jc w:val="both"/>
      </w:pPr>
      <w:r>
        <w:t xml:space="preserve">Les droits absolus s'appliquent à l'égard de tout tiers (ex. : droit de propriété, droit à la vie). On dit qu'ils s'appliquent </w:t>
      </w:r>
      <w:r w:rsidRPr="00494541">
        <w:rPr>
          <w:i/>
        </w:rPr>
        <w:t>erga omnes</w:t>
      </w:r>
      <w:r>
        <w:t xml:space="preserve"> donc opposable à tous.</w:t>
      </w:r>
    </w:p>
    <w:p w14:paraId="0693B461" w14:textId="77777777" w:rsidR="00494541" w:rsidRPr="00494541" w:rsidRDefault="00494541" w:rsidP="00494541">
      <w:pPr>
        <w:numPr>
          <w:ilvl w:val="0"/>
          <w:numId w:val="69"/>
        </w:numPr>
        <w:jc w:val="both"/>
      </w:pPr>
      <w:r>
        <w:lastRenderedPageBreak/>
        <w:t>Les droits relatifs s'appliquent à l'égard d'un ou plusieurs tiers déterminés (ex. : droits découlant d'un contrat). »</w:t>
      </w:r>
      <w:r>
        <w:rPr>
          <w:rStyle w:val="Appelnotedebasdep"/>
        </w:rPr>
        <w:footnoteReference w:id="5"/>
      </w:r>
    </w:p>
    <w:p w14:paraId="0693B462" w14:textId="77777777" w:rsidR="004C64BF" w:rsidRDefault="004C64BF" w:rsidP="00105A84">
      <w:pPr>
        <w:pStyle w:val="Titre2"/>
      </w:pPr>
      <w:bookmarkStart w:id="46" w:name="_Toc482815577"/>
      <w:r>
        <w:t>Bonus - Comparaison des régimes fiscaux en Belgique</w:t>
      </w:r>
      <w:bookmarkEnd w:id="46"/>
      <w:r>
        <w:t xml:space="preserve"> </w:t>
      </w:r>
    </w:p>
    <w:p w14:paraId="0693B463" w14:textId="77777777" w:rsidR="004C64BF" w:rsidRPr="00DB290B" w:rsidRDefault="004C64BF" w:rsidP="0005457C">
      <w:pPr>
        <w:pStyle w:val="StyleDivAprs14pt"/>
        <w:rPr>
          <w:sz w:val="20"/>
        </w:rPr>
      </w:pPr>
      <w:r w:rsidRPr="00DB290B">
        <w:rPr>
          <w:sz w:val="20"/>
        </w:rPr>
        <w:t xml:space="preserve">Voir </w:t>
      </w:r>
      <w:hyperlink r:id="rId33" w:history="1">
        <w:bookmarkStart w:id="47" w:name="baq3"/>
        <w:r w:rsidRPr="00DB290B">
          <w:rPr>
            <w:color w:val="0000FF"/>
            <w:sz w:val="20"/>
            <w:u w:val="single"/>
          </w:rPr>
          <w:t>tableau</w:t>
        </w:r>
      </w:hyperlink>
      <w:bookmarkEnd w:id="47"/>
      <w:r w:rsidRPr="00DB290B">
        <w:rPr>
          <w:sz w:val="20"/>
        </w:rPr>
        <w:t xml:space="preserve">. </w:t>
      </w:r>
    </w:p>
    <w:p w14:paraId="0693B464" w14:textId="77777777" w:rsidR="004C64BF" w:rsidRDefault="004C64BF" w:rsidP="00266865">
      <w:pPr>
        <w:pStyle w:val="Titre1"/>
      </w:pPr>
      <w:bookmarkStart w:id="48" w:name="Principes_fondamentaux_du_Code"/>
      <w:bookmarkStart w:id="49" w:name="_Toc482815578"/>
      <w:bookmarkEnd w:id="48"/>
      <w:r>
        <w:lastRenderedPageBreak/>
        <w:t>Principes fondamentaux du Code de commerce</w:t>
      </w:r>
      <w:bookmarkEnd w:id="49"/>
      <w:r>
        <w:t xml:space="preserve"> </w:t>
      </w:r>
    </w:p>
    <w:p w14:paraId="4DB064EE" w14:textId="031CDD40" w:rsidR="00772723" w:rsidRDefault="00772723">
      <w:r>
        <w:br w:type="page"/>
      </w:r>
    </w:p>
    <w:p w14:paraId="0693B465" w14:textId="77777777" w:rsidR="004C64BF" w:rsidRDefault="004C64BF" w:rsidP="00105A84">
      <w:pPr>
        <w:pStyle w:val="Titre2"/>
      </w:pPr>
      <w:bookmarkStart w:id="50" w:name="Qualit_de_commer_ant_318131445_588243319"/>
      <w:bookmarkStart w:id="51" w:name="_Toc482815579"/>
      <w:bookmarkEnd w:id="50"/>
      <w:r>
        <w:lastRenderedPageBreak/>
        <w:t>Qualité de commerçant</w:t>
      </w:r>
      <w:bookmarkEnd w:id="51"/>
      <w:r>
        <w:t xml:space="preserve"> </w:t>
      </w:r>
    </w:p>
    <w:p w14:paraId="0693B466" w14:textId="77777777" w:rsidR="004C64BF" w:rsidRPr="00DB290B" w:rsidRDefault="004C64BF" w:rsidP="0005457C">
      <w:pPr>
        <w:pStyle w:val="StyleDivAprs14pt"/>
        <w:rPr>
          <w:sz w:val="20"/>
        </w:rPr>
      </w:pPr>
      <w:bookmarkStart w:id="52" w:name="Art.1"/>
      <w:bookmarkEnd w:id="52"/>
      <w:r w:rsidRPr="00DB290B">
        <w:rPr>
          <w:b/>
          <w:sz w:val="20"/>
        </w:rPr>
        <w:t xml:space="preserve">Article </w:t>
      </w:r>
      <w:r w:rsidRPr="00DB290B">
        <w:rPr>
          <w:b/>
          <w:color w:val="auto"/>
          <w:sz w:val="20"/>
        </w:rPr>
        <w:t>1</w:t>
      </w:r>
      <w:r w:rsidRPr="00DB290B">
        <w:rPr>
          <w:b/>
          <w:sz w:val="20"/>
        </w:rPr>
        <w:t>.</w:t>
      </w:r>
      <w:r w:rsidRPr="00DB290B">
        <w:rPr>
          <w:sz w:val="20"/>
        </w:rPr>
        <w:t xml:space="preserve"> &lt;L 03-07-1956, art. 1&gt; Sont commerçants ceux qui exercent des actes qualifiés commerciaux par la loi et qui en font leur profession habituelle, soit à titre principal, soit à titre d'appoint. </w:t>
      </w:r>
    </w:p>
    <w:p w14:paraId="0693B467" w14:textId="77777777" w:rsidR="004C64BF" w:rsidRDefault="004C64BF" w:rsidP="00105A84">
      <w:pPr>
        <w:pStyle w:val="Titre2"/>
      </w:pPr>
      <w:bookmarkStart w:id="53" w:name="Actes_de_commerce_784776147301_380175956"/>
      <w:bookmarkStart w:id="54" w:name="_Toc482815580"/>
      <w:bookmarkEnd w:id="53"/>
      <w:r>
        <w:t>Actes de commerce</w:t>
      </w:r>
      <w:bookmarkEnd w:id="54"/>
      <w:r>
        <w:t xml:space="preserve"> </w:t>
      </w:r>
    </w:p>
    <w:p w14:paraId="0693B468" w14:textId="77777777" w:rsidR="00BA022F" w:rsidRPr="00DB290B" w:rsidRDefault="004C64BF" w:rsidP="0005457C">
      <w:pPr>
        <w:pStyle w:val="StyleDivAprs14pt"/>
        <w:rPr>
          <w:sz w:val="20"/>
          <w:lang w:val="fr-BE"/>
        </w:rPr>
      </w:pPr>
      <w:bookmarkStart w:id="55" w:name="Art.2"/>
      <w:r w:rsidRPr="00DB290B">
        <w:rPr>
          <w:b/>
          <w:color w:val="auto"/>
          <w:sz w:val="20"/>
        </w:rPr>
        <w:t>Art.</w:t>
      </w:r>
      <w:bookmarkEnd w:id="55"/>
      <w:r w:rsidRPr="00DB290B">
        <w:rPr>
          <w:b/>
          <w:color w:val="auto"/>
          <w:sz w:val="20"/>
        </w:rPr>
        <w:t xml:space="preserve"> </w:t>
      </w:r>
      <w:hyperlink r:id="rId34" w:anchor="Art.2bis" w:history="1">
        <w:r w:rsidRPr="00DB290B">
          <w:rPr>
            <w:b/>
            <w:color w:val="auto"/>
            <w:sz w:val="20"/>
          </w:rPr>
          <w:t>2</w:t>
        </w:r>
      </w:hyperlink>
      <w:r w:rsidRPr="00DB290B">
        <w:rPr>
          <w:b/>
          <w:sz w:val="20"/>
        </w:rPr>
        <w:t>.</w:t>
      </w:r>
      <w:r w:rsidRPr="00DB290B">
        <w:rPr>
          <w:sz w:val="20"/>
        </w:rPr>
        <w:t xml:space="preserve"> &lt;L 03-07-1956, art. 2&gt; La loi répute acte de commerce :</w:t>
      </w:r>
      <w:r w:rsidR="00BA022F" w:rsidRPr="00DB290B">
        <w:rPr>
          <w:sz w:val="20"/>
          <w:lang w:val="fr-BE"/>
        </w:rPr>
        <w:t xml:space="preserve"> </w:t>
      </w:r>
    </w:p>
    <w:p w14:paraId="0693B469"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 achat de denrées et marchandises pour les revendre, soit en nature, soit après les avoir travaillées et mises en oeuvre ou même pour en louer simplement l'usage</w:t>
      </w:r>
      <w:r w:rsidRPr="00DB290B">
        <w:rPr>
          <w:sz w:val="20"/>
          <w:lang w:val="fr-BE"/>
        </w:rPr>
        <w:t> </w:t>
      </w:r>
      <w:r w:rsidR="004C64BF" w:rsidRPr="00DB290B">
        <w:rPr>
          <w:sz w:val="20"/>
        </w:rPr>
        <w:t>;</w:t>
      </w:r>
    </w:p>
    <w:p w14:paraId="0693B46A" w14:textId="77777777" w:rsidR="00BA022F" w:rsidRPr="00DB290B" w:rsidRDefault="004C64BF" w:rsidP="00C25C8C">
      <w:pPr>
        <w:pStyle w:val="StyleDivAprs14pt"/>
        <w:numPr>
          <w:ilvl w:val="0"/>
          <w:numId w:val="17"/>
        </w:numPr>
        <w:spacing w:before="120" w:after="0"/>
        <w:ind w:left="426" w:hanging="426"/>
        <w:rPr>
          <w:sz w:val="20"/>
          <w:lang w:val="fr-BE"/>
        </w:rPr>
      </w:pPr>
      <w:r w:rsidRPr="00DB290B">
        <w:rPr>
          <w:sz w:val="20"/>
        </w:rPr>
        <w:t>toute vente ou location qui est la suite d'un tel achat; toute location de meubles pour sous-louer, et toute sous-location qui en est la suite; toute prestation d'un travail principalement matériel fournie en vertu d'un contrat de louage d'industrie, du moment qu'elle s'accompagne, même accessoirement, de la fourniture de marchandises</w:t>
      </w:r>
      <w:r w:rsidR="00BA022F" w:rsidRPr="00DB290B">
        <w:rPr>
          <w:sz w:val="20"/>
          <w:lang w:val="fr-BE"/>
        </w:rPr>
        <w:t> </w:t>
      </w:r>
      <w:r w:rsidRPr="00DB290B">
        <w:rPr>
          <w:sz w:val="20"/>
        </w:rPr>
        <w:t>;</w:t>
      </w:r>
    </w:p>
    <w:p w14:paraId="0693B46B"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 achat d'un fonds de commerce pour l'exploiter</w:t>
      </w:r>
      <w:r w:rsidRPr="00DB290B">
        <w:rPr>
          <w:sz w:val="20"/>
          <w:lang w:val="fr-BE"/>
        </w:rPr>
        <w:t> </w:t>
      </w:r>
      <w:r w:rsidR="004C64BF" w:rsidRPr="00DB290B">
        <w:rPr>
          <w:sz w:val="20"/>
        </w:rPr>
        <w:t>;</w:t>
      </w:r>
    </w:p>
    <w:p w14:paraId="0693B46C"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oute entreprise de manufactures ou d'usines, lors même que l'entrepreneur ne transformerait que les produits de son propre fonds et pour autant qu'il ne s'agisse pas d'une transformation qui relève normalement des entreprises agricoles</w:t>
      </w:r>
      <w:r w:rsidRPr="00DB290B">
        <w:rPr>
          <w:sz w:val="20"/>
          <w:lang w:val="fr-BE"/>
        </w:rPr>
        <w:t> ;</w:t>
      </w:r>
    </w:p>
    <w:p w14:paraId="0693B46D"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oute entreprise de travaux publics ou privés, de transports par terre, par air ou par eau</w:t>
      </w:r>
      <w:r w:rsidRPr="00DB290B">
        <w:rPr>
          <w:sz w:val="20"/>
          <w:lang w:val="fr-BE"/>
        </w:rPr>
        <w:t> </w:t>
      </w:r>
      <w:r w:rsidR="004C64BF" w:rsidRPr="00DB290B">
        <w:rPr>
          <w:sz w:val="20"/>
        </w:rPr>
        <w:t>;</w:t>
      </w:r>
      <w:r w:rsidRPr="00DB290B">
        <w:rPr>
          <w:sz w:val="20"/>
          <w:lang w:val="fr-BE"/>
        </w:rPr>
        <w:t xml:space="preserve"> t</w:t>
      </w:r>
      <w:r w:rsidR="004C64BF" w:rsidRPr="00DB290B">
        <w:rPr>
          <w:sz w:val="20"/>
        </w:rPr>
        <w:t>oute entreprise de fournitures, d'agences, bureaux d'affaires, établissements de vente à l'encan, de spectacles publics et d'assurances à primes</w:t>
      </w:r>
      <w:r w:rsidRPr="00DB290B">
        <w:rPr>
          <w:sz w:val="20"/>
          <w:lang w:val="fr-BE"/>
        </w:rPr>
        <w:t> </w:t>
      </w:r>
      <w:r w:rsidR="004C64BF" w:rsidRPr="00DB290B">
        <w:rPr>
          <w:sz w:val="20"/>
        </w:rPr>
        <w:t>;</w:t>
      </w:r>
    </w:p>
    <w:p w14:paraId="0693B46E"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oute opération de banque, change, commission ou courtage</w:t>
      </w:r>
      <w:r w:rsidRPr="00DB290B">
        <w:rPr>
          <w:sz w:val="20"/>
          <w:lang w:val="fr-BE"/>
        </w:rPr>
        <w:t> </w:t>
      </w:r>
      <w:r w:rsidR="004C64BF" w:rsidRPr="00DB290B">
        <w:rPr>
          <w:sz w:val="20"/>
        </w:rPr>
        <w:t>;</w:t>
      </w:r>
      <w:r w:rsidRPr="00DB290B">
        <w:rPr>
          <w:sz w:val="20"/>
          <w:lang w:val="fr-BE"/>
        </w:rPr>
        <w:t xml:space="preserve"> (t</w:t>
      </w:r>
      <w:r w:rsidR="004C64BF" w:rsidRPr="00DB290B">
        <w:rPr>
          <w:sz w:val="20"/>
        </w:rPr>
        <w:t xml:space="preserve">ous engagements d'agents commerciaux pour la négociation ou la conclusion d'affaires.) </w:t>
      </w:r>
      <w:r w:rsidRPr="00DB290B">
        <w:rPr>
          <w:sz w:val="20"/>
        </w:rPr>
        <w:t>&lt;L 1995-04-13/39, art. 28, 007;</w:t>
      </w:r>
    </w:p>
    <w:p w14:paraId="0693B46F" w14:textId="77777777" w:rsidR="00BA022F" w:rsidRPr="00DB290B" w:rsidRDefault="004C64BF" w:rsidP="00C25C8C">
      <w:pPr>
        <w:pStyle w:val="StyleDivAprs14pt"/>
        <w:numPr>
          <w:ilvl w:val="0"/>
          <w:numId w:val="17"/>
        </w:numPr>
        <w:spacing w:before="120" w:after="0"/>
        <w:ind w:left="426" w:hanging="426"/>
        <w:rPr>
          <w:sz w:val="20"/>
          <w:lang w:val="fr-BE"/>
        </w:rPr>
      </w:pPr>
      <w:r w:rsidRPr="00DB290B">
        <w:rPr>
          <w:b/>
          <w:sz w:val="20"/>
        </w:rPr>
        <w:t xml:space="preserve">En vigueur : </w:t>
      </w:r>
      <w:r w:rsidRPr="00DB290B">
        <w:rPr>
          <w:sz w:val="20"/>
        </w:rPr>
        <w:t>12-06-1995&gt;</w:t>
      </w:r>
      <w:r w:rsidR="00BA022F" w:rsidRPr="00DB290B">
        <w:rPr>
          <w:sz w:val="20"/>
          <w:lang w:val="fr-BE"/>
        </w:rPr>
        <w:t xml:space="preserve"> t</w:t>
      </w:r>
      <w:r w:rsidRPr="00DB290B">
        <w:rPr>
          <w:sz w:val="20"/>
        </w:rPr>
        <w:t>oute entreprise ayant pour objet l'achat d'immeubles en vue de les revendre</w:t>
      </w:r>
      <w:r w:rsidR="00BA022F" w:rsidRPr="00DB290B">
        <w:rPr>
          <w:sz w:val="20"/>
          <w:lang w:val="fr-BE"/>
        </w:rPr>
        <w:t> </w:t>
      </w:r>
      <w:r w:rsidRPr="00DB290B">
        <w:rPr>
          <w:sz w:val="20"/>
        </w:rPr>
        <w:t>;</w:t>
      </w:r>
      <w:r w:rsidR="00BA022F" w:rsidRPr="00DB290B">
        <w:rPr>
          <w:sz w:val="20"/>
          <w:lang w:val="fr-BE"/>
        </w:rPr>
        <w:t xml:space="preserve"> t</w:t>
      </w:r>
      <w:r w:rsidRPr="00DB290B">
        <w:rPr>
          <w:sz w:val="20"/>
        </w:rPr>
        <w:t>outes les opérations de banque publiques</w:t>
      </w:r>
      <w:r w:rsidR="00BA022F" w:rsidRPr="00DB290B">
        <w:rPr>
          <w:sz w:val="20"/>
          <w:lang w:val="fr-BE"/>
        </w:rPr>
        <w:t> </w:t>
      </w:r>
      <w:r w:rsidRPr="00DB290B">
        <w:rPr>
          <w:sz w:val="20"/>
        </w:rPr>
        <w:t>;</w:t>
      </w:r>
    </w:p>
    <w:p w14:paraId="0693B470"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l</w:t>
      </w:r>
      <w:r w:rsidR="004C64BF" w:rsidRPr="00DB290B">
        <w:rPr>
          <w:sz w:val="20"/>
        </w:rPr>
        <w:t>es lettres de change, mandats, billets ou autres effets à ordre ou au porteur</w:t>
      </w:r>
      <w:r w:rsidRPr="00DB290B">
        <w:rPr>
          <w:sz w:val="20"/>
          <w:lang w:val="fr-BE"/>
        </w:rPr>
        <w:t> </w:t>
      </w:r>
      <w:r w:rsidR="004C64BF" w:rsidRPr="00DB290B">
        <w:rPr>
          <w:sz w:val="20"/>
        </w:rPr>
        <w:t>;</w:t>
      </w:r>
    </w:p>
    <w:p w14:paraId="0693B471" w14:textId="77777777" w:rsidR="00BA022F" w:rsidRPr="00DB290B" w:rsidRDefault="00BA022F" w:rsidP="00C25C8C">
      <w:pPr>
        <w:pStyle w:val="StyleDivAprs14pt"/>
        <w:numPr>
          <w:ilvl w:val="0"/>
          <w:numId w:val="17"/>
        </w:numPr>
        <w:spacing w:before="120" w:after="0"/>
        <w:ind w:left="426" w:hanging="426"/>
        <w:rPr>
          <w:sz w:val="20"/>
          <w:lang w:val="fr-BE"/>
        </w:rPr>
      </w:pPr>
      <w:r w:rsidRPr="00DB290B">
        <w:rPr>
          <w:sz w:val="20"/>
          <w:lang w:val="fr-BE"/>
        </w:rPr>
        <w:t>t</w:t>
      </w:r>
      <w:r w:rsidR="004C64BF" w:rsidRPr="00DB290B">
        <w:rPr>
          <w:sz w:val="20"/>
        </w:rPr>
        <w:t>outes obligations de commerçants, qu'elles aient pour objet des immeubles ou des meubles, à moins qu'il soit prouvé qu'elles aient une cause étrangère au commerce.</w:t>
      </w:r>
    </w:p>
    <w:p w14:paraId="0693B472" w14:textId="77777777" w:rsidR="00BA022F" w:rsidRPr="00DB290B" w:rsidRDefault="004C64BF" w:rsidP="00BA022F">
      <w:pPr>
        <w:pStyle w:val="StyleDivAprs14pt"/>
        <w:spacing w:before="480" w:after="0"/>
        <w:rPr>
          <w:sz w:val="20"/>
          <w:lang w:val="fr-BE"/>
        </w:rPr>
      </w:pPr>
      <w:bookmarkStart w:id="56" w:name="Art.2bis"/>
      <w:r w:rsidRPr="00DB290B">
        <w:rPr>
          <w:b/>
          <w:color w:val="auto"/>
          <w:sz w:val="20"/>
        </w:rPr>
        <w:t>Art.</w:t>
      </w:r>
      <w:bookmarkEnd w:id="56"/>
      <w:r w:rsidRPr="00DB290B">
        <w:rPr>
          <w:b/>
          <w:color w:val="auto"/>
          <w:sz w:val="20"/>
        </w:rPr>
        <w:t xml:space="preserve"> </w:t>
      </w:r>
      <w:hyperlink r:id="rId35" w:anchor="Art.3" w:history="1">
        <w:r w:rsidRPr="00DB290B">
          <w:rPr>
            <w:b/>
            <w:color w:val="auto"/>
            <w:sz w:val="20"/>
          </w:rPr>
          <w:t>2bis</w:t>
        </w:r>
      </w:hyperlink>
      <w:r w:rsidRPr="00DB290B">
        <w:rPr>
          <w:b/>
          <w:sz w:val="20"/>
        </w:rPr>
        <w:t>.</w:t>
      </w:r>
      <w:r w:rsidRPr="00DB290B">
        <w:rPr>
          <w:sz w:val="20"/>
        </w:rPr>
        <w:t xml:space="preserve"> &lt;L 18-07-1973, art. unique&gt; Ne sont toutefois pas réputés actes de commerce, les achats en vue de la vente à des particuliers ainsi que les ventes à des particuliers, de produits relevant de la profession de pharmacien lorsque ces achats et ventes sont accomplis par une personne légalement autorisée à exercer l'art de guérir ou l'art vétérinaire pour autant que cette personne n'accomplisse pas également d'autres actes qualifiés commerciaux par la loi dans le cadre d'une profession habituelle exercée soit à titre princ</w:t>
      </w:r>
      <w:r w:rsidR="00BA022F" w:rsidRPr="00DB290B">
        <w:rPr>
          <w:sz w:val="20"/>
        </w:rPr>
        <w:t>ipal, soit à titre d'appoint.</w:t>
      </w:r>
      <w:r w:rsidR="00BA022F" w:rsidRPr="00DB290B">
        <w:rPr>
          <w:sz w:val="20"/>
        </w:rPr>
        <w:br/>
      </w:r>
      <w:r w:rsidRPr="00DB290B">
        <w:rPr>
          <w:sz w:val="20"/>
        </w:rPr>
        <w:t>Pour l'application de la présente disposition, sont considérés comme produits relevant de la profession de pharmacien :</w:t>
      </w:r>
      <w:r w:rsidR="00BA022F" w:rsidRPr="00DB290B">
        <w:rPr>
          <w:sz w:val="20"/>
          <w:lang w:val="fr-BE"/>
        </w:rPr>
        <w:t xml:space="preserve"> </w:t>
      </w:r>
    </w:p>
    <w:p w14:paraId="0693B473" w14:textId="77777777" w:rsidR="00BA022F" w:rsidRPr="00DB290B" w:rsidRDefault="004C64BF" w:rsidP="00DB290B">
      <w:pPr>
        <w:pStyle w:val="StyleDivAprs14pt"/>
        <w:spacing w:before="120" w:after="0"/>
        <w:rPr>
          <w:sz w:val="20"/>
          <w:lang w:val="fr-BE"/>
        </w:rPr>
      </w:pPr>
      <w:r w:rsidRPr="00DB290B">
        <w:rPr>
          <w:sz w:val="20"/>
        </w:rPr>
        <w:t>1° les drogues, substances, préparations et compositions à usage pharmaceutique</w:t>
      </w:r>
      <w:r w:rsidR="00BA022F" w:rsidRPr="00DB290B">
        <w:rPr>
          <w:sz w:val="20"/>
          <w:lang w:val="fr-BE"/>
        </w:rPr>
        <w:t> </w:t>
      </w:r>
      <w:r w:rsidRPr="00DB290B">
        <w:rPr>
          <w:sz w:val="20"/>
        </w:rPr>
        <w:t>;</w:t>
      </w:r>
      <w:r w:rsidR="00BA022F" w:rsidRPr="00DB290B">
        <w:rPr>
          <w:sz w:val="20"/>
          <w:lang w:val="fr-BE"/>
        </w:rPr>
        <w:t xml:space="preserve"> </w:t>
      </w:r>
    </w:p>
    <w:p w14:paraId="0693B474" w14:textId="77777777" w:rsidR="00BA022F" w:rsidRPr="00DB290B" w:rsidRDefault="004C64BF" w:rsidP="00DB290B">
      <w:pPr>
        <w:pStyle w:val="StyleDivAprs14pt"/>
        <w:spacing w:before="120" w:after="0"/>
        <w:rPr>
          <w:sz w:val="20"/>
          <w:lang w:val="fr-BE"/>
        </w:rPr>
      </w:pPr>
      <w:r w:rsidRPr="00DB290B">
        <w:rPr>
          <w:sz w:val="20"/>
        </w:rPr>
        <w:t>2° les médicaments au sens de l'article 1er, § 1er, de la loi du 25 mars 1964 sur les médicaments</w:t>
      </w:r>
      <w:r w:rsidR="00BA022F" w:rsidRPr="00DB290B">
        <w:rPr>
          <w:sz w:val="20"/>
          <w:lang w:val="fr-BE"/>
        </w:rPr>
        <w:t> </w:t>
      </w:r>
      <w:r w:rsidRPr="00DB290B">
        <w:rPr>
          <w:sz w:val="20"/>
        </w:rPr>
        <w:t>;</w:t>
      </w:r>
      <w:r w:rsidR="00BA022F" w:rsidRPr="00DB290B">
        <w:rPr>
          <w:sz w:val="20"/>
          <w:lang w:val="fr-BE"/>
        </w:rPr>
        <w:t xml:space="preserve"> </w:t>
      </w:r>
    </w:p>
    <w:p w14:paraId="0693B475" w14:textId="77777777" w:rsidR="00BA022F" w:rsidRPr="00DB290B" w:rsidRDefault="004C64BF" w:rsidP="00DB290B">
      <w:pPr>
        <w:pStyle w:val="StyleDivAprs14pt"/>
        <w:spacing w:before="120" w:after="0"/>
        <w:rPr>
          <w:sz w:val="20"/>
          <w:lang w:val="fr-BE"/>
        </w:rPr>
      </w:pPr>
      <w:r w:rsidRPr="00DB290B">
        <w:rPr>
          <w:sz w:val="20"/>
        </w:rPr>
        <w:t>3° le matériel médical et pharmaceutique, c'est-à-dire les substances, objets et matières soumis en tout ou en partie au régime applicable aux médicaments, en exécution de l'article 1er, § 2, de la loi précitée ainsi que les produits généralement utilisés dans l'art de guérir</w:t>
      </w:r>
      <w:r w:rsidR="00BA022F" w:rsidRPr="00DB290B">
        <w:rPr>
          <w:sz w:val="20"/>
          <w:lang w:val="fr-BE"/>
        </w:rPr>
        <w:t> </w:t>
      </w:r>
      <w:r w:rsidR="00BA022F" w:rsidRPr="00DB290B">
        <w:rPr>
          <w:sz w:val="20"/>
        </w:rPr>
        <w:t>;</w:t>
      </w:r>
    </w:p>
    <w:p w14:paraId="0693B476" w14:textId="77777777" w:rsidR="00B31E20" w:rsidRDefault="004C64BF" w:rsidP="00B31E20">
      <w:pPr>
        <w:pStyle w:val="StyleDivAprs14pt"/>
        <w:spacing w:before="120" w:after="0"/>
        <w:rPr>
          <w:sz w:val="20"/>
          <w:lang w:val="fr-BE"/>
        </w:rPr>
      </w:pPr>
      <w:r w:rsidRPr="00DB290B">
        <w:rPr>
          <w:sz w:val="20"/>
        </w:rPr>
        <w:t>4° les produits que le pharmacien est autorisé à vendre en vertu des lois et règlements.</w:t>
      </w:r>
    </w:p>
    <w:p w14:paraId="0693B477" w14:textId="77777777" w:rsidR="00BC3733" w:rsidRPr="00BC3733" w:rsidRDefault="00BC3733" w:rsidP="00BC3733">
      <w:pPr>
        <w:pStyle w:val="StyleDivAprs14pt"/>
        <w:spacing w:before="480" w:after="0"/>
        <w:rPr>
          <w:b/>
          <w:color w:val="auto"/>
          <w:sz w:val="20"/>
          <w:lang w:val="fr-BE"/>
        </w:rPr>
      </w:pPr>
      <w:r>
        <w:rPr>
          <w:b/>
          <w:color w:val="auto"/>
          <w:sz w:val="20"/>
        </w:rPr>
        <w:lastRenderedPageBreak/>
        <w:t>Art.  2ter.</w:t>
      </w:r>
      <w:r>
        <w:rPr>
          <w:b/>
          <w:color w:val="auto"/>
          <w:sz w:val="20"/>
          <w:lang w:val="fr-BE"/>
        </w:rPr>
        <w:t xml:space="preserve"> </w:t>
      </w:r>
      <w:r w:rsidRPr="00BC3733">
        <w:rPr>
          <w:color w:val="auto"/>
          <w:sz w:val="20"/>
        </w:rPr>
        <w:t>N'est toutefois pas réputé acte de commerce, la garde d'enfants par des accueillant(e)s autonomes et indépendant(e)s qui répondent aux conditions fixées par les autorités compétentes en matière de politique familiale.</w:t>
      </w:r>
    </w:p>
    <w:p w14:paraId="0693B478" w14:textId="77777777" w:rsidR="00BA022F" w:rsidRPr="00DB290B" w:rsidRDefault="004C64BF" w:rsidP="00B31E20">
      <w:pPr>
        <w:pStyle w:val="StyleDivAprs14pt"/>
        <w:spacing w:before="480" w:after="0"/>
        <w:rPr>
          <w:sz w:val="20"/>
          <w:lang w:val="fr-BE"/>
        </w:rPr>
      </w:pPr>
      <w:bookmarkStart w:id="57" w:name="Art.3"/>
      <w:r w:rsidRPr="00DB290B">
        <w:rPr>
          <w:b/>
          <w:color w:val="auto"/>
          <w:sz w:val="20"/>
        </w:rPr>
        <w:t>Art.</w:t>
      </w:r>
      <w:bookmarkEnd w:id="57"/>
      <w:r w:rsidRPr="00DB290B">
        <w:rPr>
          <w:b/>
          <w:color w:val="auto"/>
          <w:sz w:val="20"/>
        </w:rPr>
        <w:t xml:space="preserve"> </w:t>
      </w:r>
      <w:hyperlink r:id="rId36" w:anchor="Art.4" w:history="1">
        <w:r w:rsidRPr="00DB290B">
          <w:rPr>
            <w:b/>
            <w:color w:val="auto"/>
            <w:sz w:val="20"/>
          </w:rPr>
          <w:t>3</w:t>
        </w:r>
      </w:hyperlink>
      <w:r w:rsidRPr="00DB290B">
        <w:rPr>
          <w:b/>
          <w:sz w:val="20"/>
        </w:rPr>
        <w:t>.</w:t>
      </w:r>
      <w:r w:rsidRPr="00DB290B">
        <w:rPr>
          <w:sz w:val="20"/>
        </w:rPr>
        <w:t xml:space="preserve"> &lt;L 15-12-1872&gt; La loi répute pareillement actes de commerce :</w:t>
      </w:r>
    </w:p>
    <w:p w14:paraId="0693B479" w14:textId="77777777" w:rsidR="00BA022F" w:rsidRPr="00DB290B" w:rsidRDefault="004C64BF" w:rsidP="00C25C8C">
      <w:pPr>
        <w:pStyle w:val="StyleDivAprs14pt"/>
        <w:numPr>
          <w:ilvl w:val="0"/>
          <w:numId w:val="18"/>
        </w:numPr>
        <w:spacing w:before="120" w:after="0"/>
        <w:rPr>
          <w:sz w:val="20"/>
          <w:lang w:val="fr-BE"/>
        </w:rPr>
      </w:pPr>
      <w:r w:rsidRPr="00DB290B">
        <w:rPr>
          <w:sz w:val="20"/>
          <w:lang w:val="fr-BE"/>
        </w:rPr>
        <w:t>Toute entreprise de construction et tous achats, ventes et reventes volontaires de bâtiments pour la navigation intérieure et extérieure</w:t>
      </w:r>
      <w:r w:rsidR="00BA022F" w:rsidRPr="00DB290B">
        <w:rPr>
          <w:sz w:val="20"/>
          <w:lang w:val="fr-BE"/>
        </w:rPr>
        <w:t> </w:t>
      </w:r>
      <w:r w:rsidRPr="00DB290B">
        <w:rPr>
          <w:sz w:val="20"/>
          <w:lang w:val="fr-BE"/>
        </w:rPr>
        <w:t>;</w:t>
      </w:r>
    </w:p>
    <w:p w14:paraId="0693B47A" w14:textId="77777777" w:rsidR="00BA022F" w:rsidRPr="00DB290B" w:rsidRDefault="00BA022F" w:rsidP="00C25C8C">
      <w:pPr>
        <w:pStyle w:val="StyleDivAprs14pt"/>
        <w:numPr>
          <w:ilvl w:val="0"/>
          <w:numId w:val="18"/>
        </w:numPr>
        <w:spacing w:before="120" w:after="0"/>
        <w:rPr>
          <w:sz w:val="20"/>
          <w:lang w:val="fr-BE"/>
        </w:rPr>
      </w:pPr>
      <w:r w:rsidRPr="00DB290B">
        <w:rPr>
          <w:sz w:val="20"/>
          <w:lang w:val="fr-BE"/>
        </w:rPr>
        <w:t>t</w:t>
      </w:r>
      <w:r w:rsidR="004C64BF" w:rsidRPr="00DB290B">
        <w:rPr>
          <w:sz w:val="20"/>
          <w:lang w:val="fr-BE"/>
        </w:rPr>
        <w:t>outes expéditions maritimes</w:t>
      </w:r>
      <w:r w:rsidRPr="00DB290B">
        <w:rPr>
          <w:sz w:val="20"/>
          <w:lang w:val="fr-BE"/>
        </w:rPr>
        <w:t> </w:t>
      </w:r>
      <w:r w:rsidR="004C64BF" w:rsidRPr="00DB290B">
        <w:rPr>
          <w:sz w:val="20"/>
          <w:lang w:val="fr-BE"/>
        </w:rPr>
        <w:t>;</w:t>
      </w:r>
    </w:p>
    <w:p w14:paraId="0693B47B" w14:textId="77777777" w:rsidR="00BA022F" w:rsidRPr="00DB290B" w:rsidRDefault="00BA022F" w:rsidP="00C25C8C">
      <w:pPr>
        <w:pStyle w:val="StyleDivAprs14pt"/>
        <w:numPr>
          <w:ilvl w:val="0"/>
          <w:numId w:val="18"/>
        </w:numPr>
        <w:spacing w:before="120" w:after="0"/>
        <w:rPr>
          <w:sz w:val="20"/>
          <w:lang w:val="fr-BE"/>
        </w:rPr>
      </w:pPr>
      <w:r w:rsidRPr="00DB290B">
        <w:rPr>
          <w:sz w:val="20"/>
          <w:lang w:val="fr-BE"/>
        </w:rPr>
        <w:t>t</w:t>
      </w:r>
      <w:r w:rsidR="004C64BF" w:rsidRPr="00DB290B">
        <w:rPr>
          <w:sz w:val="20"/>
          <w:lang w:val="fr-BE"/>
        </w:rPr>
        <w:t>out achat ou vente d'agrès</w:t>
      </w:r>
      <w:r w:rsidR="00156C44">
        <w:rPr>
          <w:rStyle w:val="Appelnotedebasdep"/>
          <w:sz w:val="20"/>
          <w:lang w:val="fr-BE"/>
        </w:rPr>
        <w:footnoteReference w:id="6"/>
      </w:r>
      <w:r w:rsidR="004C64BF" w:rsidRPr="00DB290B">
        <w:rPr>
          <w:sz w:val="20"/>
          <w:lang w:val="fr-BE"/>
        </w:rPr>
        <w:t>, apparaux</w:t>
      </w:r>
      <w:r w:rsidR="00156C44">
        <w:rPr>
          <w:rStyle w:val="Appelnotedebasdep"/>
          <w:sz w:val="20"/>
          <w:lang w:val="fr-BE"/>
        </w:rPr>
        <w:footnoteReference w:id="7"/>
      </w:r>
      <w:r w:rsidR="004C64BF" w:rsidRPr="00DB290B">
        <w:rPr>
          <w:sz w:val="20"/>
          <w:lang w:val="fr-BE"/>
        </w:rPr>
        <w:t xml:space="preserve"> et avitaillements</w:t>
      </w:r>
      <w:r w:rsidR="00156C44">
        <w:rPr>
          <w:rStyle w:val="Appelnotedebasdep"/>
          <w:sz w:val="20"/>
          <w:lang w:val="fr-BE"/>
        </w:rPr>
        <w:footnoteReference w:id="8"/>
      </w:r>
      <w:r w:rsidRPr="00DB290B">
        <w:rPr>
          <w:sz w:val="20"/>
          <w:lang w:val="fr-BE"/>
        </w:rPr>
        <w:t> </w:t>
      </w:r>
      <w:r w:rsidR="004C64BF" w:rsidRPr="00DB290B">
        <w:rPr>
          <w:sz w:val="20"/>
          <w:lang w:val="fr-BE"/>
        </w:rPr>
        <w:t>;</w:t>
      </w:r>
    </w:p>
    <w:p w14:paraId="0693B47C" w14:textId="77777777" w:rsidR="00BA022F" w:rsidRPr="00DB290B" w:rsidRDefault="00BA022F" w:rsidP="00C25C8C">
      <w:pPr>
        <w:pStyle w:val="StyleDivAprs14pt"/>
        <w:numPr>
          <w:ilvl w:val="0"/>
          <w:numId w:val="18"/>
        </w:numPr>
        <w:spacing w:before="120" w:after="0"/>
        <w:rPr>
          <w:sz w:val="20"/>
          <w:lang w:val="fr-BE"/>
        </w:rPr>
      </w:pPr>
      <w:r w:rsidRPr="00DB290B">
        <w:rPr>
          <w:sz w:val="20"/>
          <w:lang w:val="fr-BE"/>
        </w:rPr>
        <w:t>t</w:t>
      </w:r>
      <w:r w:rsidR="004C64BF" w:rsidRPr="00DB290B">
        <w:rPr>
          <w:sz w:val="20"/>
          <w:lang w:val="fr-BE"/>
        </w:rPr>
        <w:t>out affrètement</w:t>
      </w:r>
      <w:r w:rsidR="003F0885">
        <w:rPr>
          <w:rStyle w:val="Appelnotedebasdep"/>
          <w:sz w:val="20"/>
          <w:lang w:val="fr-BE"/>
        </w:rPr>
        <w:footnoteReference w:id="9"/>
      </w:r>
      <w:r w:rsidR="004C64BF" w:rsidRPr="00DB290B">
        <w:rPr>
          <w:sz w:val="20"/>
          <w:lang w:val="fr-BE"/>
        </w:rPr>
        <w:t xml:space="preserve"> ou nolissement</w:t>
      </w:r>
      <w:r w:rsidR="003F0885">
        <w:rPr>
          <w:rStyle w:val="Appelnotedebasdep"/>
          <w:sz w:val="20"/>
          <w:lang w:val="fr-BE"/>
        </w:rPr>
        <w:footnoteReference w:id="10"/>
      </w:r>
      <w:r w:rsidR="004C64BF" w:rsidRPr="00DB290B">
        <w:rPr>
          <w:sz w:val="20"/>
          <w:lang w:val="fr-BE"/>
        </w:rPr>
        <w:t>, emprunt ou prêt à la grosse</w:t>
      </w:r>
      <w:r w:rsidR="003F0885">
        <w:rPr>
          <w:rStyle w:val="Appelnotedebasdep"/>
          <w:sz w:val="20"/>
          <w:lang w:val="fr-BE"/>
        </w:rPr>
        <w:footnoteReference w:id="11"/>
      </w:r>
      <w:r w:rsidRPr="00DB290B">
        <w:rPr>
          <w:sz w:val="20"/>
          <w:lang w:val="fr-BE"/>
        </w:rPr>
        <w:t> </w:t>
      </w:r>
      <w:r w:rsidR="004C64BF" w:rsidRPr="00DB290B">
        <w:rPr>
          <w:sz w:val="20"/>
          <w:lang w:val="fr-BE"/>
        </w:rPr>
        <w:t>;</w:t>
      </w:r>
    </w:p>
    <w:p w14:paraId="0693B47D" w14:textId="77777777" w:rsidR="00BA022F" w:rsidRPr="00DB290B" w:rsidRDefault="00BA022F" w:rsidP="00C25C8C">
      <w:pPr>
        <w:pStyle w:val="StyleDivAprs14pt"/>
        <w:numPr>
          <w:ilvl w:val="0"/>
          <w:numId w:val="18"/>
        </w:numPr>
        <w:spacing w:before="120" w:after="0"/>
        <w:rPr>
          <w:sz w:val="20"/>
          <w:lang w:val="fr-BE"/>
        </w:rPr>
      </w:pPr>
      <w:r w:rsidRPr="00DB290B">
        <w:rPr>
          <w:sz w:val="20"/>
          <w:lang w:val="fr-BE"/>
        </w:rPr>
        <w:t>t</w:t>
      </w:r>
      <w:r w:rsidR="004C64BF" w:rsidRPr="00DB290B">
        <w:rPr>
          <w:sz w:val="20"/>
          <w:lang w:val="fr-BE"/>
        </w:rPr>
        <w:t>outes assurances et autres contrats concernant le commerce de mer</w:t>
      </w:r>
      <w:r w:rsidRPr="00DB290B">
        <w:rPr>
          <w:sz w:val="20"/>
          <w:lang w:val="fr-BE"/>
        </w:rPr>
        <w:t> </w:t>
      </w:r>
      <w:r w:rsidR="004C64BF" w:rsidRPr="00DB290B">
        <w:rPr>
          <w:sz w:val="20"/>
          <w:lang w:val="fr-BE"/>
        </w:rPr>
        <w:t>;</w:t>
      </w:r>
    </w:p>
    <w:p w14:paraId="0693B47E" w14:textId="77777777" w:rsidR="00BA022F" w:rsidRPr="00DB290B" w:rsidRDefault="00BA022F" w:rsidP="00C25C8C">
      <w:pPr>
        <w:pStyle w:val="StyleDivAprs14pt"/>
        <w:numPr>
          <w:ilvl w:val="0"/>
          <w:numId w:val="18"/>
        </w:numPr>
        <w:spacing w:before="120" w:after="0"/>
        <w:rPr>
          <w:sz w:val="20"/>
          <w:lang w:val="fr-BE"/>
        </w:rPr>
      </w:pPr>
      <w:r w:rsidRPr="00DB290B">
        <w:rPr>
          <w:sz w:val="20"/>
          <w:lang w:val="fr-BE"/>
        </w:rPr>
        <w:t>t</w:t>
      </w:r>
      <w:r w:rsidR="004C64BF" w:rsidRPr="00DB290B">
        <w:rPr>
          <w:sz w:val="20"/>
          <w:lang w:val="fr-BE"/>
        </w:rPr>
        <w:t>ous accords et conventions pour salaires et loyers d'équipage</w:t>
      </w:r>
      <w:r w:rsidRPr="00DB290B">
        <w:rPr>
          <w:sz w:val="20"/>
          <w:lang w:val="fr-BE"/>
        </w:rPr>
        <w:t> </w:t>
      </w:r>
      <w:r w:rsidR="004C64BF" w:rsidRPr="00DB290B">
        <w:rPr>
          <w:sz w:val="20"/>
          <w:lang w:val="fr-BE"/>
        </w:rPr>
        <w:t>;</w:t>
      </w:r>
    </w:p>
    <w:p w14:paraId="0693B47F" w14:textId="77777777" w:rsidR="00B31E20" w:rsidRDefault="00BA022F" w:rsidP="00C25C8C">
      <w:pPr>
        <w:pStyle w:val="StyleDivAprs14pt"/>
        <w:numPr>
          <w:ilvl w:val="0"/>
          <w:numId w:val="18"/>
        </w:numPr>
        <w:spacing w:before="120" w:after="0"/>
        <w:rPr>
          <w:sz w:val="20"/>
          <w:lang w:val="fr-BE"/>
        </w:rPr>
      </w:pPr>
      <w:r w:rsidRPr="00B31E20">
        <w:rPr>
          <w:sz w:val="20"/>
          <w:lang w:val="fr-BE"/>
        </w:rPr>
        <w:t>t</w:t>
      </w:r>
      <w:r w:rsidR="004C64BF" w:rsidRPr="00B31E20">
        <w:rPr>
          <w:sz w:val="20"/>
          <w:lang w:val="fr-BE"/>
        </w:rPr>
        <w:t>ous engagements de gens de mer, pour le service de bâtiments de commerce.</w:t>
      </w:r>
    </w:p>
    <w:p w14:paraId="0693B480" w14:textId="77777777" w:rsidR="00B31E20" w:rsidRDefault="004C64BF" w:rsidP="00B31E20">
      <w:pPr>
        <w:pStyle w:val="StyleDivAprs14pt"/>
        <w:spacing w:before="480" w:after="0"/>
        <w:rPr>
          <w:sz w:val="20"/>
          <w:lang w:val="fr-BE"/>
        </w:rPr>
      </w:pPr>
      <w:bookmarkStart w:id="58" w:name="Art.6"/>
      <w:r w:rsidRPr="00B31E20">
        <w:rPr>
          <w:b/>
          <w:color w:val="auto"/>
          <w:sz w:val="20"/>
        </w:rPr>
        <w:t>Art.</w:t>
      </w:r>
      <w:bookmarkEnd w:id="58"/>
      <w:r w:rsidRPr="00B31E20">
        <w:rPr>
          <w:b/>
          <w:color w:val="auto"/>
          <w:sz w:val="20"/>
        </w:rPr>
        <w:t xml:space="preserve"> </w:t>
      </w:r>
      <w:hyperlink r:id="rId37" w:anchor="Art.7" w:history="1">
        <w:r w:rsidRPr="00B31E20">
          <w:rPr>
            <w:b/>
            <w:color w:val="auto"/>
            <w:sz w:val="20"/>
          </w:rPr>
          <w:t>6</w:t>
        </w:r>
      </w:hyperlink>
      <w:r w:rsidRPr="00B31E20">
        <w:rPr>
          <w:b/>
          <w:color w:val="auto"/>
          <w:sz w:val="20"/>
        </w:rPr>
        <w:t>.</w:t>
      </w:r>
      <w:r w:rsidRPr="00B31E20">
        <w:rPr>
          <w:sz w:val="20"/>
        </w:rPr>
        <w:t xml:space="preserve"> &lt;L 1990-01-19/30, art. 41, 004</w:t>
      </w:r>
      <w:r w:rsidR="00B31E20">
        <w:rPr>
          <w:sz w:val="20"/>
          <w:lang w:val="fr-BE"/>
        </w:rPr>
        <w:t> </w:t>
      </w:r>
      <w:r w:rsidRPr="00B31E20">
        <w:rPr>
          <w:sz w:val="20"/>
        </w:rPr>
        <w:t xml:space="preserve">; </w:t>
      </w:r>
      <w:r w:rsidRPr="00B31E20">
        <w:rPr>
          <w:b/>
          <w:sz w:val="20"/>
        </w:rPr>
        <w:t xml:space="preserve">En vigueur : </w:t>
      </w:r>
      <w:r w:rsidRPr="00B31E20">
        <w:rPr>
          <w:sz w:val="20"/>
        </w:rPr>
        <w:t>01-05-1990&gt; Les actes de commerce indiqués dans les articles 2 et 3 ne sont pas valables comme tels à l'égard d'un mineur. Ils sont considérés comme des actes civils.</w:t>
      </w:r>
    </w:p>
    <w:p w14:paraId="0693B481" w14:textId="77777777" w:rsidR="004C64BF" w:rsidRDefault="004C64BF" w:rsidP="00B31E20">
      <w:pPr>
        <w:pStyle w:val="StyleDivAprs14pt"/>
        <w:spacing w:before="480" w:after="0"/>
        <w:rPr>
          <w:lang w:val="fr-BE"/>
        </w:rPr>
      </w:pPr>
      <w:bookmarkStart w:id="59" w:name="Art.10"/>
      <w:r w:rsidRPr="00B31E20">
        <w:rPr>
          <w:b/>
          <w:color w:val="auto"/>
          <w:sz w:val="20"/>
        </w:rPr>
        <w:t>Art.</w:t>
      </w:r>
      <w:bookmarkEnd w:id="59"/>
      <w:r w:rsidRPr="00B31E20">
        <w:rPr>
          <w:b/>
          <w:color w:val="auto"/>
          <w:sz w:val="20"/>
        </w:rPr>
        <w:t xml:space="preserve"> 10.</w:t>
      </w:r>
      <w:r w:rsidRPr="00B31E20">
        <w:rPr>
          <w:sz w:val="20"/>
        </w:rPr>
        <w:t xml:space="preserve"> (Abrogé) &lt;L 30-04-1958, art. 7, § 10&gt;</w:t>
      </w:r>
      <w:r w:rsidR="00B31E20">
        <w:rPr>
          <w:sz w:val="20"/>
          <w:lang w:val="fr-BE"/>
        </w:rPr>
        <w:t xml:space="preserve"> </w:t>
      </w:r>
      <w:r w:rsidRPr="00B31E20">
        <w:rPr>
          <w:sz w:val="20"/>
        </w:rPr>
        <w:t>(La femme mariée) n'est pas réputée marchande publique si elle ne fait que détailler les marchandises du commerce de son mari; elle n'est réputée telle que lorsqu'elle fait un commerce séparé. &lt;L 1997-10-21/30, art. 2, 008</w:t>
      </w:r>
      <w:r w:rsidR="00B31E20">
        <w:rPr>
          <w:sz w:val="20"/>
          <w:lang w:val="fr-BE"/>
        </w:rPr>
        <w:t> </w:t>
      </w:r>
      <w:r w:rsidRPr="00B31E20">
        <w:rPr>
          <w:sz w:val="20"/>
        </w:rPr>
        <w:t xml:space="preserve">; </w:t>
      </w:r>
      <w:r w:rsidRPr="00B31E20">
        <w:rPr>
          <w:b/>
          <w:sz w:val="20"/>
        </w:rPr>
        <w:t xml:space="preserve">En vigueur : </w:t>
      </w:r>
      <w:r w:rsidRPr="00B31E20">
        <w:rPr>
          <w:sz w:val="20"/>
        </w:rPr>
        <w:t>07-12-1997&gt;</w:t>
      </w:r>
      <w:r>
        <w:t xml:space="preserve">  </w:t>
      </w:r>
    </w:p>
    <w:p w14:paraId="0693B482" w14:textId="77777777" w:rsidR="00B31E20" w:rsidRPr="00B31E20" w:rsidRDefault="00B31E20" w:rsidP="00B31E20">
      <w:pPr>
        <w:pStyle w:val="StyleDivAprs14pt"/>
        <w:spacing w:before="480" w:after="0"/>
        <w:rPr>
          <w:sz w:val="20"/>
          <w:lang w:val="fr-BE"/>
        </w:rPr>
      </w:pPr>
    </w:p>
    <w:p w14:paraId="0693B483" w14:textId="77777777" w:rsidR="004C64BF" w:rsidRDefault="004C64BF" w:rsidP="00105A84">
      <w:pPr>
        <w:pStyle w:val="Titre2"/>
      </w:pPr>
      <w:bookmarkStart w:id="60" w:name="Les_obligations_propres_au_com_388975215"/>
      <w:bookmarkStart w:id="61" w:name="_Toc482815581"/>
      <w:bookmarkEnd w:id="60"/>
      <w:r>
        <w:t>Les obligations propres au commerçant</w:t>
      </w:r>
      <w:bookmarkEnd w:id="61"/>
      <w:r>
        <w:t xml:space="preserve"> </w:t>
      </w:r>
    </w:p>
    <w:p w14:paraId="0693B484" w14:textId="77777777" w:rsidR="004C64BF" w:rsidRDefault="004C64BF" w:rsidP="004C64BF">
      <w:pPr>
        <w:pStyle w:val="Titre3"/>
        <w:spacing w:after="280" w:afterAutospacing="1"/>
        <w:jc w:val="both"/>
      </w:pPr>
      <w:bookmarkStart w:id="62" w:name="Conventions_matrimoniales_3559_514578283"/>
      <w:bookmarkStart w:id="63" w:name="_Toc482815582"/>
      <w:bookmarkEnd w:id="62"/>
      <w:r>
        <w:t>Conventions matrimoniales</w:t>
      </w:r>
      <w:bookmarkEnd w:id="63"/>
      <w:r>
        <w:t xml:space="preserve"> </w:t>
      </w:r>
    </w:p>
    <w:p w14:paraId="0693B485" w14:textId="77777777" w:rsidR="00032757" w:rsidRDefault="004C64BF" w:rsidP="004C64BF">
      <w:pPr>
        <w:pStyle w:val="Div"/>
        <w:spacing w:after="280" w:afterAutospacing="1"/>
        <w:jc w:val="both"/>
        <w:rPr>
          <w:sz w:val="20"/>
          <w:szCs w:val="20"/>
          <w:lang w:val="fr-BE"/>
        </w:rPr>
      </w:pPr>
      <w:bookmarkStart w:id="64" w:name="Art.12"/>
      <w:r w:rsidRPr="00032757">
        <w:rPr>
          <w:b/>
          <w:color w:val="auto"/>
          <w:sz w:val="20"/>
          <w:szCs w:val="20"/>
        </w:rPr>
        <w:t>Art.</w:t>
      </w:r>
      <w:bookmarkEnd w:id="64"/>
      <w:r w:rsidRPr="00032757">
        <w:rPr>
          <w:b/>
          <w:color w:val="auto"/>
          <w:sz w:val="20"/>
          <w:szCs w:val="20"/>
        </w:rPr>
        <w:t xml:space="preserve"> </w:t>
      </w:r>
      <w:hyperlink r:id="rId38" w:anchor="Art.13" w:history="1">
        <w:r w:rsidRPr="00032757">
          <w:rPr>
            <w:b/>
            <w:color w:val="auto"/>
            <w:sz w:val="20"/>
            <w:szCs w:val="20"/>
          </w:rPr>
          <w:t>12</w:t>
        </w:r>
      </w:hyperlink>
      <w:r w:rsidRPr="00032757">
        <w:rPr>
          <w:b/>
          <w:sz w:val="20"/>
          <w:szCs w:val="20"/>
        </w:rPr>
        <w:t>.</w:t>
      </w:r>
      <w:r w:rsidRPr="00032757">
        <w:rPr>
          <w:sz w:val="20"/>
          <w:szCs w:val="20"/>
        </w:rPr>
        <w:t xml:space="preserve"> &lt;L 03-07-1956, art. 1&gt; Tout contrat de mariage entre époux dont l'un est </w:t>
      </w:r>
      <w:hyperlink r:id="rId39" w:anchor="hit0" w:tgtFrame="_self" w:history="1">
        <w:r w:rsidRPr="00032757">
          <w:rPr>
            <w:color w:val="0000FF"/>
            <w:sz w:val="20"/>
            <w:szCs w:val="20"/>
            <w:u w:val="single"/>
          </w:rPr>
          <w:t>&lt;</w:t>
        </w:r>
      </w:hyperlink>
      <w:bookmarkStart w:id="65" w:name="hit1"/>
      <w:bookmarkEnd w:id="65"/>
      <w:r w:rsidRPr="00032757">
        <w:rPr>
          <w:color w:val="FF0000"/>
          <w:sz w:val="20"/>
          <w:szCs w:val="20"/>
        </w:rPr>
        <w:t>commerçant</w:t>
      </w:r>
      <w:hyperlink r:id="rId40" w:anchor="hit2" w:tgtFrame="_self" w:history="1">
        <w:r w:rsidRPr="00032757">
          <w:rPr>
            <w:color w:val="0000FF"/>
            <w:sz w:val="20"/>
            <w:szCs w:val="20"/>
            <w:u w:val="single"/>
          </w:rPr>
          <w:t>&gt;</w:t>
        </w:r>
      </w:hyperlink>
      <w:r w:rsidRPr="00032757">
        <w:rPr>
          <w:sz w:val="20"/>
          <w:szCs w:val="20"/>
        </w:rPr>
        <w:t xml:space="preserve"> sera transmis par extrait, dans le mois de sa date, au greffe de chaque tribunal dans le ressort duquel l'époux </w:t>
      </w:r>
      <w:hyperlink r:id="rId41" w:anchor="hit1" w:tgtFrame="_self" w:history="1">
        <w:r w:rsidRPr="00032757">
          <w:rPr>
            <w:color w:val="0000FF"/>
            <w:sz w:val="20"/>
            <w:szCs w:val="20"/>
            <w:u w:val="single"/>
          </w:rPr>
          <w:t>&lt;</w:t>
        </w:r>
      </w:hyperlink>
      <w:bookmarkStart w:id="66" w:name="hit2"/>
      <w:bookmarkEnd w:id="66"/>
      <w:r w:rsidRPr="00032757">
        <w:rPr>
          <w:color w:val="FF0000"/>
          <w:sz w:val="20"/>
          <w:szCs w:val="20"/>
        </w:rPr>
        <w:t>commerçant</w:t>
      </w:r>
      <w:hyperlink r:id="rId42" w:anchor="hit3" w:tgtFrame="_self" w:history="1">
        <w:r w:rsidRPr="00032757">
          <w:rPr>
            <w:color w:val="0000FF"/>
            <w:sz w:val="20"/>
            <w:szCs w:val="20"/>
            <w:u w:val="single"/>
          </w:rPr>
          <w:t>&gt;</w:t>
        </w:r>
      </w:hyperlink>
      <w:r w:rsidRPr="00032757">
        <w:rPr>
          <w:sz w:val="20"/>
          <w:szCs w:val="20"/>
        </w:rPr>
        <w:t xml:space="preserve"> est inscrit au registre du commerce. Les extraits sont reliés en volumes conformément à la loi du 30 avril 1929.</w:t>
      </w:r>
      <w:r w:rsidR="00032757">
        <w:rPr>
          <w:sz w:val="20"/>
          <w:szCs w:val="20"/>
          <w:lang w:val="fr-BE"/>
        </w:rPr>
        <w:t xml:space="preserve"> </w:t>
      </w:r>
      <w:r w:rsidRPr="00032757">
        <w:rPr>
          <w:sz w:val="20"/>
          <w:szCs w:val="20"/>
        </w:rPr>
        <w:t xml:space="preserve">(Il en est de même des actes portant modification du régime matrimonial des époux dans le mois de la rédaction de cet acte.) &lt;L </w:t>
      </w:r>
      <w:hyperlink r:id="rId43" w:tgtFrame="_blank" w:history="1">
        <w:r w:rsidRPr="00032757">
          <w:rPr>
            <w:color w:val="0000FF"/>
            <w:sz w:val="20"/>
            <w:szCs w:val="20"/>
            <w:u w:val="single"/>
          </w:rPr>
          <w:t>2008-07-18/44</w:t>
        </w:r>
      </w:hyperlink>
      <w:r w:rsidRPr="00032757">
        <w:rPr>
          <w:sz w:val="20"/>
          <w:szCs w:val="20"/>
        </w:rPr>
        <w:t>, art. 8, 031</w:t>
      </w:r>
      <w:r w:rsidR="00032757">
        <w:rPr>
          <w:sz w:val="20"/>
          <w:szCs w:val="20"/>
          <w:lang w:val="fr-BE"/>
        </w:rPr>
        <w:t> </w:t>
      </w:r>
      <w:r w:rsidRPr="00032757">
        <w:rPr>
          <w:sz w:val="20"/>
          <w:szCs w:val="20"/>
        </w:rPr>
        <w:t>;</w:t>
      </w:r>
      <w:r w:rsidR="00032757">
        <w:rPr>
          <w:sz w:val="20"/>
          <w:szCs w:val="20"/>
          <w:lang w:val="fr-BE"/>
        </w:rPr>
        <w:t xml:space="preserve"> e</w:t>
      </w:r>
      <w:r w:rsidRPr="00032757">
        <w:rPr>
          <w:b/>
          <w:sz w:val="20"/>
          <w:szCs w:val="20"/>
        </w:rPr>
        <w:t xml:space="preserve">n vigueur : </w:t>
      </w:r>
      <w:r w:rsidRPr="00032757">
        <w:rPr>
          <w:sz w:val="20"/>
          <w:szCs w:val="20"/>
        </w:rPr>
        <w:t>01-11-2008&gt;</w:t>
      </w:r>
      <w:r w:rsidR="00032757">
        <w:rPr>
          <w:sz w:val="20"/>
          <w:szCs w:val="20"/>
          <w:lang w:val="fr-BE"/>
        </w:rPr>
        <w:t xml:space="preserve"> l</w:t>
      </w:r>
      <w:r w:rsidRPr="00032757">
        <w:rPr>
          <w:sz w:val="20"/>
          <w:szCs w:val="20"/>
        </w:rPr>
        <w:t xml:space="preserve">'extrait énoncera si les époux sont mariés en communauté, en indiquant les dérogations au régime légal ou s'ils ont adopté un autre régime.) (Il ne doit pas être fait mention des clauses du contrat de mariage ou de l'acte portant modification du régime </w:t>
      </w:r>
      <w:r w:rsidRPr="00032757">
        <w:rPr>
          <w:sz w:val="20"/>
          <w:szCs w:val="20"/>
        </w:rPr>
        <w:lastRenderedPageBreak/>
        <w:t>matrimonial qui ont pour objet de déroger aux règles du partage par moitié du patrimoine commun.) &lt;L 14-07-1976, art. 4, § 3-36, 2°&gt; &lt;L 19-05-1982, art. unique&gt;</w:t>
      </w:r>
      <w:r w:rsidR="00032757">
        <w:rPr>
          <w:sz w:val="20"/>
          <w:szCs w:val="20"/>
          <w:lang w:val="fr-BE"/>
        </w:rPr>
        <w:t xml:space="preserve"> l</w:t>
      </w:r>
      <w:r w:rsidRPr="00032757">
        <w:rPr>
          <w:sz w:val="20"/>
          <w:szCs w:val="20"/>
        </w:rPr>
        <w:t>es volumes réunissant les extraits, ainsi que les fiches prescrites par la loi du 30 avril 1929, peuvent être consultés sans frais par toute personne qui en fait la demande.</w:t>
      </w:r>
      <w:r w:rsidR="00032757">
        <w:rPr>
          <w:sz w:val="20"/>
          <w:szCs w:val="20"/>
          <w:lang w:val="fr-BE"/>
        </w:rPr>
        <w:t xml:space="preserve"> </w:t>
      </w:r>
      <w:bookmarkStart w:id="67" w:name="Art.13"/>
    </w:p>
    <w:p w14:paraId="0693B486" w14:textId="77777777" w:rsidR="00032757" w:rsidRDefault="004C64BF" w:rsidP="004C64BF">
      <w:pPr>
        <w:pStyle w:val="Div"/>
        <w:spacing w:after="280" w:afterAutospacing="1"/>
        <w:jc w:val="both"/>
        <w:rPr>
          <w:sz w:val="20"/>
          <w:szCs w:val="20"/>
          <w:lang w:val="fr-BE"/>
        </w:rPr>
      </w:pPr>
      <w:r w:rsidRPr="00032757">
        <w:rPr>
          <w:b/>
          <w:color w:val="auto"/>
          <w:sz w:val="20"/>
          <w:szCs w:val="20"/>
        </w:rPr>
        <w:t>Art.</w:t>
      </w:r>
      <w:bookmarkEnd w:id="67"/>
      <w:r w:rsidRPr="00032757">
        <w:rPr>
          <w:b/>
          <w:color w:val="auto"/>
          <w:sz w:val="20"/>
          <w:szCs w:val="20"/>
        </w:rPr>
        <w:t xml:space="preserve"> </w:t>
      </w:r>
      <w:hyperlink r:id="rId44" w:anchor="Art.14" w:history="1">
        <w:r w:rsidRPr="00032757">
          <w:rPr>
            <w:b/>
            <w:color w:val="auto"/>
            <w:sz w:val="20"/>
            <w:szCs w:val="20"/>
          </w:rPr>
          <w:t>13</w:t>
        </w:r>
      </w:hyperlink>
      <w:r w:rsidRPr="00032757">
        <w:rPr>
          <w:b/>
          <w:color w:val="auto"/>
          <w:sz w:val="20"/>
          <w:szCs w:val="20"/>
        </w:rPr>
        <w:t>.</w:t>
      </w:r>
      <w:r w:rsidRPr="00032757">
        <w:rPr>
          <w:sz w:val="20"/>
          <w:szCs w:val="20"/>
        </w:rPr>
        <w:t xml:space="preserve"> Le notaire qui aura reçu le contrat de mariage (ou l'acte modifiant le régime matrimonial) sera tenu de faire la </w:t>
      </w:r>
      <w:r w:rsidRPr="00505915">
        <w:rPr>
          <w:sz w:val="20"/>
          <w:szCs w:val="20"/>
          <w:lang w:val="fr-BE"/>
        </w:rPr>
        <w:t>remise</w:t>
      </w:r>
      <w:r w:rsidRPr="00032757">
        <w:rPr>
          <w:sz w:val="20"/>
          <w:szCs w:val="20"/>
        </w:rPr>
        <w:t xml:space="preserve"> ordonnée par l'article précédent, sous peine de vingt-six francs à cent francs d'amende, et même de destitution et de responsabilité envers les créanciers s'il est prouvé que l'omission soit la suite d'une collusion. &lt;L 14-07-1976, art. 4, § 3-36, 3°&gt;</w:t>
      </w:r>
      <w:r w:rsidR="00032757">
        <w:rPr>
          <w:sz w:val="20"/>
          <w:szCs w:val="20"/>
          <w:lang w:val="fr-BE"/>
        </w:rPr>
        <w:t xml:space="preserve"> </w:t>
      </w:r>
      <w:bookmarkStart w:id="68" w:name="Art.14"/>
    </w:p>
    <w:p w14:paraId="0693B487" w14:textId="77777777" w:rsidR="00032757" w:rsidRDefault="004C64BF" w:rsidP="004C64BF">
      <w:pPr>
        <w:pStyle w:val="Div"/>
        <w:spacing w:after="280" w:afterAutospacing="1"/>
        <w:jc w:val="both"/>
        <w:rPr>
          <w:sz w:val="20"/>
          <w:szCs w:val="20"/>
          <w:lang w:val="fr-BE"/>
        </w:rPr>
      </w:pPr>
      <w:r w:rsidRPr="00032757">
        <w:rPr>
          <w:b/>
          <w:color w:val="auto"/>
          <w:sz w:val="20"/>
          <w:szCs w:val="20"/>
        </w:rPr>
        <w:t>Art.</w:t>
      </w:r>
      <w:bookmarkEnd w:id="68"/>
      <w:r w:rsidRPr="00032757">
        <w:rPr>
          <w:b/>
          <w:color w:val="auto"/>
          <w:sz w:val="20"/>
          <w:szCs w:val="20"/>
        </w:rPr>
        <w:t xml:space="preserve"> </w:t>
      </w:r>
      <w:hyperlink r:id="rId45" w:anchor="Art.15" w:history="1">
        <w:r w:rsidRPr="00032757">
          <w:rPr>
            <w:b/>
            <w:color w:val="auto"/>
            <w:sz w:val="20"/>
            <w:szCs w:val="20"/>
          </w:rPr>
          <w:t>14</w:t>
        </w:r>
      </w:hyperlink>
      <w:r w:rsidRPr="00032757">
        <w:rPr>
          <w:b/>
          <w:color w:val="auto"/>
          <w:sz w:val="20"/>
          <w:szCs w:val="20"/>
        </w:rPr>
        <w:t>.</w:t>
      </w:r>
      <w:r w:rsidRPr="00032757">
        <w:rPr>
          <w:sz w:val="20"/>
          <w:szCs w:val="20"/>
        </w:rPr>
        <w:t xml:space="preserve"> &lt;L 03-07-1956, art. 2&gt; Tout époux marié sous un régime autre que (le régime légal) qui, postérieurement à son mariage, embrasserait la profession de </w:t>
      </w:r>
      <w:hyperlink r:id="rId46" w:anchor="hit2" w:tgtFrame="_self" w:history="1">
        <w:r w:rsidRPr="00032757">
          <w:rPr>
            <w:color w:val="0000FF"/>
            <w:sz w:val="20"/>
            <w:szCs w:val="20"/>
            <w:u w:val="single"/>
          </w:rPr>
          <w:t>&lt;</w:t>
        </w:r>
      </w:hyperlink>
      <w:bookmarkStart w:id="69" w:name="hit3"/>
      <w:bookmarkEnd w:id="69"/>
      <w:r w:rsidRPr="00032757">
        <w:rPr>
          <w:color w:val="FF0000"/>
          <w:sz w:val="20"/>
          <w:szCs w:val="20"/>
        </w:rPr>
        <w:t>commerçant</w:t>
      </w:r>
      <w:hyperlink r:id="rId47" w:anchor="hit4" w:tgtFrame="_self" w:history="1">
        <w:r w:rsidRPr="00032757">
          <w:rPr>
            <w:color w:val="0000FF"/>
            <w:sz w:val="20"/>
            <w:szCs w:val="20"/>
            <w:u w:val="single"/>
          </w:rPr>
          <w:t>&gt;</w:t>
        </w:r>
      </w:hyperlink>
      <w:r w:rsidRPr="00032757">
        <w:rPr>
          <w:sz w:val="20"/>
          <w:szCs w:val="20"/>
        </w:rPr>
        <w:t xml:space="preserve"> ou entreprendrait une activité commerciale nouvelle, sera tenu de faire pareille remise au greffe du tribunal dans le ressort duquel il introduit une demande d'immatriculation au registre du commerce, à défaut de quoi il pourra, en cas de faillite, être puni comme banqueroutier simple. &lt;L 14-07-1976, art. 4, § 3-36, 4°&gt;</w:t>
      </w:r>
      <w:r w:rsidR="00032757">
        <w:rPr>
          <w:sz w:val="20"/>
          <w:szCs w:val="20"/>
          <w:lang w:val="fr-BE"/>
        </w:rPr>
        <w:t xml:space="preserve"> </w:t>
      </w:r>
      <w:bookmarkStart w:id="70" w:name="Art.15"/>
    </w:p>
    <w:p w14:paraId="0693B488" w14:textId="77777777" w:rsidR="004C64BF" w:rsidRPr="00032757" w:rsidRDefault="004C64BF" w:rsidP="004C64BF">
      <w:pPr>
        <w:pStyle w:val="Div"/>
        <w:spacing w:after="280" w:afterAutospacing="1"/>
        <w:jc w:val="both"/>
        <w:rPr>
          <w:sz w:val="20"/>
          <w:szCs w:val="20"/>
        </w:rPr>
      </w:pPr>
      <w:r w:rsidRPr="00032757">
        <w:rPr>
          <w:b/>
          <w:color w:val="auto"/>
          <w:sz w:val="20"/>
          <w:szCs w:val="20"/>
        </w:rPr>
        <w:t>Art.</w:t>
      </w:r>
      <w:bookmarkEnd w:id="70"/>
      <w:r w:rsidRPr="00032757">
        <w:rPr>
          <w:b/>
          <w:color w:val="auto"/>
          <w:sz w:val="20"/>
          <w:szCs w:val="20"/>
        </w:rPr>
        <w:t xml:space="preserve"> </w:t>
      </w:r>
      <w:hyperlink r:id="rId48" w:anchor="LNK0003" w:history="1">
        <w:r w:rsidRPr="00032757">
          <w:rPr>
            <w:b/>
            <w:color w:val="auto"/>
            <w:sz w:val="20"/>
            <w:szCs w:val="20"/>
          </w:rPr>
          <w:t>15</w:t>
        </w:r>
      </w:hyperlink>
      <w:r w:rsidRPr="00032757">
        <w:rPr>
          <w:b/>
          <w:color w:val="auto"/>
          <w:sz w:val="20"/>
          <w:szCs w:val="20"/>
        </w:rPr>
        <w:t>.</w:t>
      </w:r>
      <w:r w:rsidRPr="00032757">
        <w:rPr>
          <w:sz w:val="20"/>
          <w:szCs w:val="20"/>
        </w:rPr>
        <w:t xml:space="preserve"> &lt;L 14-07-1976, art. 4, § 3-36, 5°&gt; Tout jugement ou arrêt qui admettra le divorce ou prononcera la séparation de corps ou la séparation de biens entre époux dont l'un au moins est </w:t>
      </w:r>
      <w:hyperlink r:id="rId49" w:anchor="hit3" w:tgtFrame="_self" w:history="1">
        <w:r w:rsidRPr="00032757">
          <w:rPr>
            <w:color w:val="0000FF"/>
            <w:sz w:val="20"/>
            <w:szCs w:val="20"/>
            <w:u w:val="single"/>
          </w:rPr>
          <w:t>&lt;</w:t>
        </w:r>
      </w:hyperlink>
      <w:bookmarkStart w:id="71" w:name="hit4"/>
      <w:bookmarkEnd w:id="71"/>
      <w:r w:rsidRPr="00032757">
        <w:rPr>
          <w:color w:val="FF0000"/>
          <w:sz w:val="20"/>
          <w:szCs w:val="20"/>
        </w:rPr>
        <w:t>commerçant</w:t>
      </w:r>
      <w:hyperlink r:id="rId50" w:anchor="hit5" w:tgtFrame="_self" w:history="1">
        <w:r w:rsidRPr="00032757">
          <w:rPr>
            <w:color w:val="0000FF"/>
            <w:sz w:val="20"/>
            <w:szCs w:val="20"/>
            <w:u w:val="single"/>
          </w:rPr>
          <w:t>&gt;</w:t>
        </w:r>
      </w:hyperlink>
      <w:r w:rsidRPr="00032757">
        <w:rPr>
          <w:sz w:val="20"/>
          <w:szCs w:val="20"/>
        </w:rPr>
        <w:t xml:space="preserve">, sera remis par eux au greffe du tribunal de commerce dans le ressort duquel un des époux ou les deux sont immatriculés au registre de commerce; à défaut de quoi, les créanciers seront admis à s'y opposer pour ce qui touche leurs intérêts et à contredire toute liquidation qui en aurait été la suite. </w:t>
      </w:r>
    </w:p>
    <w:p w14:paraId="0693B489" w14:textId="77777777" w:rsidR="004C64BF" w:rsidRDefault="004C64BF" w:rsidP="004C64BF">
      <w:pPr>
        <w:pStyle w:val="Div"/>
        <w:spacing w:after="280" w:afterAutospacing="1"/>
        <w:jc w:val="both"/>
      </w:pPr>
      <w:r>
        <w:t xml:space="preserve">  </w:t>
      </w:r>
    </w:p>
    <w:p w14:paraId="0693B48A" w14:textId="77777777" w:rsidR="004C64BF" w:rsidRDefault="004C64BF" w:rsidP="004C64BF">
      <w:pPr>
        <w:pStyle w:val="Titre3"/>
        <w:spacing w:after="280" w:afterAutospacing="1"/>
        <w:jc w:val="both"/>
      </w:pPr>
      <w:bookmarkStart w:id="72" w:name="Documents_comptables_024758169_440579448"/>
      <w:bookmarkStart w:id="73" w:name="_Toc482815583"/>
      <w:bookmarkEnd w:id="72"/>
      <w:r>
        <w:t>Documents comptables</w:t>
      </w:r>
      <w:bookmarkEnd w:id="73"/>
      <w:r>
        <w:t xml:space="preserve"> </w:t>
      </w:r>
    </w:p>
    <w:p w14:paraId="0693B48B" w14:textId="77777777" w:rsidR="00032757" w:rsidRDefault="004C64BF" w:rsidP="004C64BF">
      <w:pPr>
        <w:pStyle w:val="Div"/>
        <w:spacing w:after="280" w:afterAutospacing="1"/>
        <w:jc w:val="both"/>
        <w:rPr>
          <w:sz w:val="20"/>
          <w:szCs w:val="20"/>
          <w:lang w:val="fr-BE"/>
        </w:rPr>
      </w:pPr>
      <w:bookmarkStart w:id="74" w:name="Art.20"/>
      <w:r w:rsidRPr="00032757">
        <w:rPr>
          <w:b/>
          <w:color w:val="auto"/>
          <w:sz w:val="20"/>
          <w:szCs w:val="20"/>
        </w:rPr>
        <w:t>Art.</w:t>
      </w:r>
      <w:bookmarkEnd w:id="74"/>
      <w:r w:rsidRPr="00032757">
        <w:rPr>
          <w:b/>
          <w:color w:val="auto"/>
          <w:sz w:val="20"/>
          <w:szCs w:val="20"/>
        </w:rPr>
        <w:t xml:space="preserve"> </w:t>
      </w:r>
      <w:hyperlink r:id="rId51" w:anchor="Art.21" w:history="1">
        <w:r w:rsidRPr="00032757">
          <w:rPr>
            <w:b/>
            <w:color w:val="auto"/>
            <w:sz w:val="20"/>
            <w:szCs w:val="20"/>
          </w:rPr>
          <w:t>20</w:t>
        </w:r>
      </w:hyperlink>
      <w:r w:rsidRPr="00032757">
        <w:rPr>
          <w:b/>
          <w:color w:val="auto"/>
          <w:sz w:val="20"/>
          <w:szCs w:val="20"/>
        </w:rPr>
        <w:t>.</w:t>
      </w:r>
      <w:r w:rsidRPr="00032757">
        <w:rPr>
          <w:sz w:val="20"/>
          <w:szCs w:val="20"/>
        </w:rPr>
        <w:t xml:space="preserve"> &lt;L 17-07-1975, art. 18&gt; La comptabilité régulièrement tenue peut être admise par le juge pour faire preuve entre commerçants pour faits de commerce.</w:t>
      </w:r>
      <w:r w:rsidR="00032757">
        <w:rPr>
          <w:sz w:val="20"/>
          <w:szCs w:val="20"/>
          <w:lang w:val="fr-BE"/>
        </w:rPr>
        <w:t xml:space="preserve"> </w:t>
      </w:r>
      <w:bookmarkStart w:id="75" w:name="Art.21"/>
    </w:p>
    <w:p w14:paraId="0693B48C" w14:textId="77777777" w:rsidR="00032757" w:rsidRDefault="004C64BF" w:rsidP="004C64BF">
      <w:pPr>
        <w:pStyle w:val="Div"/>
        <w:spacing w:after="280" w:afterAutospacing="1"/>
        <w:jc w:val="both"/>
        <w:rPr>
          <w:sz w:val="20"/>
          <w:szCs w:val="20"/>
          <w:lang w:val="fr-BE"/>
        </w:rPr>
      </w:pPr>
      <w:r w:rsidRPr="00032757">
        <w:rPr>
          <w:b/>
          <w:color w:val="auto"/>
          <w:sz w:val="20"/>
          <w:szCs w:val="20"/>
        </w:rPr>
        <w:t>Art.</w:t>
      </w:r>
      <w:bookmarkEnd w:id="75"/>
      <w:r w:rsidRPr="00032757">
        <w:rPr>
          <w:b/>
          <w:color w:val="auto"/>
          <w:sz w:val="20"/>
          <w:szCs w:val="20"/>
        </w:rPr>
        <w:t xml:space="preserve"> </w:t>
      </w:r>
      <w:hyperlink r:id="rId52" w:anchor="Art.22" w:history="1">
        <w:r w:rsidRPr="00032757">
          <w:rPr>
            <w:b/>
            <w:color w:val="auto"/>
            <w:sz w:val="20"/>
            <w:szCs w:val="20"/>
          </w:rPr>
          <w:t>21</w:t>
        </w:r>
      </w:hyperlink>
      <w:r w:rsidRPr="00032757">
        <w:rPr>
          <w:b/>
          <w:color w:val="auto"/>
          <w:sz w:val="20"/>
          <w:szCs w:val="20"/>
        </w:rPr>
        <w:t>.</w:t>
      </w:r>
      <w:r w:rsidRPr="00032757">
        <w:rPr>
          <w:sz w:val="20"/>
          <w:szCs w:val="20"/>
        </w:rPr>
        <w:t xml:space="preserve"> &lt;L 17-07-1975, art. 18&gt; Sans préjudice des lois particulières, la communication de l'ensemble de la comptabilité d'un </w:t>
      </w:r>
      <w:hyperlink r:id="rId53" w:anchor="hit4" w:tgtFrame="_self" w:history="1">
        <w:r w:rsidRPr="00032757">
          <w:rPr>
            <w:color w:val="0000FF"/>
            <w:sz w:val="20"/>
            <w:szCs w:val="20"/>
            <w:u w:val="single"/>
          </w:rPr>
          <w:t>&lt;</w:t>
        </w:r>
      </w:hyperlink>
      <w:bookmarkStart w:id="76" w:name="hit5"/>
      <w:bookmarkEnd w:id="76"/>
      <w:r w:rsidRPr="00032757">
        <w:rPr>
          <w:color w:val="FF0000"/>
          <w:sz w:val="20"/>
          <w:szCs w:val="20"/>
        </w:rPr>
        <w:t>commerçant</w:t>
      </w:r>
      <w:hyperlink r:id="rId54" w:anchor="hit6" w:tgtFrame="_self" w:history="1">
        <w:r w:rsidRPr="00032757">
          <w:rPr>
            <w:color w:val="0000FF"/>
            <w:sz w:val="20"/>
            <w:szCs w:val="20"/>
            <w:u w:val="single"/>
          </w:rPr>
          <w:t>&gt;</w:t>
        </w:r>
      </w:hyperlink>
      <w:r w:rsidRPr="00032757">
        <w:rPr>
          <w:sz w:val="20"/>
          <w:szCs w:val="20"/>
        </w:rPr>
        <w:t>, constituée par les livres, registres et documents comptables, ne peut être ordonnée en justice que dans les affaires de succession, communauté, partage de société et en cas de faillite.</w:t>
      </w:r>
      <w:r w:rsidR="00032757">
        <w:rPr>
          <w:sz w:val="20"/>
          <w:szCs w:val="20"/>
          <w:lang w:val="fr-BE"/>
        </w:rPr>
        <w:t xml:space="preserve"> </w:t>
      </w:r>
      <w:bookmarkStart w:id="77" w:name="Art.22"/>
    </w:p>
    <w:p w14:paraId="0693B48D" w14:textId="77777777" w:rsidR="00032757" w:rsidRDefault="004C64BF" w:rsidP="004C64BF">
      <w:pPr>
        <w:pStyle w:val="Div"/>
        <w:spacing w:after="280" w:afterAutospacing="1"/>
        <w:jc w:val="both"/>
        <w:rPr>
          <w:sz w:val="20"/>
          <w:szCs w:val="20"/>
          <w:lang w:val="fr-BE"/>
        </w:rPr>
      </w:pPr>
      <w:r w:rsidRPr="00032757">
        <w:rPr>
          <w:b/>
          <w:color w:val="auto"/>
          <w:sz w:val="20"/>
          <w:szCs w:val="20"/>
        </w:rPr>
        <w:t>Art.</w:t>
      </w:r>
      <w:bookmarkEnd w:id="77"/>
      <w:r w:rsidRPr="00032757">
        <w:rPr>
          <w:b/>
          <w:color w:val="auto"/>
          <w:sz w:val="20"/>
          <w:szCs w:val="20"/>
        </w:rPr>
        <w:t xml:space="preserve"> </w:t>
      </w:r>
      <w:hyperlink r:id="rId55" w:anchor="Art.23" w:history="1">
        <w:r w:rsidRPr="00032757">
          <w:rPr>
            <w:b/>
            <w:color w:val="auto"/>
            <w:sz w:val="20"/>
            <w:szCs w:val="20"/>
          </w:rPr>
          <w:t>22</w:t>
        </w:r>
      </w:hyperlink>
      <w:r w:rsidRPr="00032757">
        <w:rPr>
          <w:b/>
          <w:color w:val="auto"/>
          <w:sz w:val="20"/>
          <w:szCs w:val="20"/>
        </w:rPr>
        <w:t>.</w:t>
      </w:r>
      <w:r w:rsidRPr="00032757">
        <w:rPr>
          <w:sz w:val="20"/>
          <w:szCs w:val="20"/>
        </w:rPr>
        <w:t xml:space="preserve"> &lt;L 17-07-1975, art. 18&gt; Dans le cours d'une contestation, la représentation de tout ou partie de la comptabilité d'un </w:t>
      </w:r>
      <w:hyperlink r:id="rId56" w:anchor="hit5" w:tgtFrame="_self" w:history="1">
        <w:r w:rsidRPr="00032757">
          <w:rPr>
            <w:color w:val="0000FF"/>
            <w:sz w:val="20"/>
            <w:szCs w:val="20"/>
            <w:u w:val="single"/>
          </w:rPr>
          <w:t>&lt;</w:t>
        </w:r>
      </w:hyperlink>
      <w:bookmarkStart w:id="78" w:name="hit6"/>
      <w:bookmarkEnd w:id="78"/>
      <w:r w:rsidRPr="00032757">
        <w:rPr>
          <w:color w:val="FF0000"/>
          <w:sz w:val="20"/>
          <w:szCs w:val="20"/>
        </w:rPr>
        <w:t>commerçant</w:t>
      </w:r>
      <w:hyperlink r:id="rId57" w:anchor="hit7" w:tgtFrame="_self" w:history="1">
        <w:r w:rsidRPr="00032757">
          <w:rPr>
            <w:color w:val="0000FF"/>
            <w:sz w:val="20"/>
            <w:szCs w:val="20"/>
            <w:u w:val="single"/>
          </w:rPr>
          <w:t>&gt;</w:t>
        </w:r>
      </w:hyperlink>
      <w:r w:rsidRPr="00032757">
        <w:rPr>
          <w:sz w:val="20"/>
          <w:szCs w:val="20"/>
        </w:rPr>
        <w:t xml:space="preserve"> peut être ordonnée par le juge, même d'office, à l'effet d'en extraire ce qui concerne le différend.</w:t>
      </w:r>
      <w:r w:rsidR="00032757">
        <w:rPr>
          <w:sz w:val="20"/>
          <w:szCs w:val="20"/>
          <w:lang w:val="fr-BE"/>
        </w:rPr>
        <w:t xml:space="preserve"> </w:t>
      </w:r>
      <w:bookmarkStart w:id="79" w:name="Art.23"/>
    </w:p>
    <w:p w14:paraId="0693B48E" w14:textId="77777777" w:rsidR="00032757" w:rsidRDefault="004C64BF" w:rsidP="004C64BF">
      <w:pPr>
        <w:pStyle w:val="Div"/>
        <w:spacing w:after="280" w:afterAutospacing="1"/>
        <w:jc w:val="both"/>
        <w:rPr>
          <w:sz w:val="20"/>
          <w:szCs w:val="20"/>
          <w:lang w:val="fr-BE"/>
        </w:rPr>
      </w:pPr>
      <w:r w:rsidRPr="00032757">
        <w:rPr>
          <w:b/>
          <w:color w:val="auto"/>
          <w:sz w:val="20"/>
          <w:szCs w:val="20"/>
        </w:rPr>
        <w:t>Art.</w:t>
      </w:r>
      <w:bookmarkEnd w:id="79"/>
      <w:r w:rsidRPr="00032757">
        <w:rPr>
          <w:b/>
          <w:color w:val="auto"/>
          <w:sz w:val="20"/>
          <w:szCs w:val="20"/>
        </w:rPr>
        <w:t xml:space="preserve"> </w:t>
      </w:r>
      <w:hyperlink r:id="rId58" w:anchor="Art.24" w:history="1">
        <w:r w:rsidRPr="00032757">
          <w:rPr>
            <w:b/>
            <w:color w:val="auto"/>
            <w:sz w:val="20"/>
            <w:szCs w:val="20"/>
          </w:rPr>
          <w:t>23</w:t>
        </w:r>
      </w:hyperlink>
      <w:r w:rsidRPr="00032757">
        <w:rPr>
          <w:b/>
          <w:color w:val="auto"/>
          <w:sz w:val="20"/>
          <w:szCs w:val="20"/>
        </w:rPr>
        <w:t>.</w:t>
      </w:r>
      <w:r w:rsidRPr="00032757">
        <w:rPr>
          <w:sz w:val="20"/>
          <w:szCs w:val="20"/>
        </w:rPr>
        <w:t xml:space="preserve"> &lt;L 17-07-1975, art. 18&gt; Lorsque la comptabilité dont la représentation est offerte, requise ou ordonnée, se trouve dans les lieux éloignés du tribunal saisi de l'affaire, les juges peuvent adresser une commission rogatoire au tribunal de commerce du lieu, ou déléguer un juge de paix pour en prendre connaissance, dresser un procès-verbal du contenu et l'envoyer au tribunal saisi de l'affaire.</w:t>
      </w:r>
      <w:r w:rsidR="00032757">
        <w:rPr>
          <w:sz w:val="20"/>
          <w:szCs w:val="20"/>
          <w:lang w:val="fr-BE"/>
        </w:rPr>
        <w:t xml:space="preserve"> </w:t>
      </w:r>
      <w:bookmarkStart w:id="80" w:name="Art.24"/>
    </w:p>
    <w:p w14:paraId="0693B48F" w14:textId="77777777" w:rsidR="004C64BF" w:rsidRPr="00032757" w:rsidRDefault="004C64BF" w:rsidP="004C64BF">
      <w:pPr>
        <w:pStyle w:val="Div"/>
        <w:spacing w:after="280" w:afterAutospacing="1"/>
        <w:jc w:val="both"/>
        <w:rPr>
          <w:sz w:val="20"/>
          <w:szCs w:val="20"/>
        </w:rPr>
      </w:pPr>
      <w:r w:rsidRPr="00032757">
        <w:rPr>
          <w:b/>
          <w:color w:val="auto"/>
          <w:sz w:val="20"/>
          <w:szCs w:val="20"/>
        </w:rPr>
        <w:t>Art.</w:t>
      </w:r>
      <w:bookmarkEnd w:id="80"/>
      <w:r w:rsidRPr="00032757">
        <w:rPr>
          <w:b/>
          <w:color w:val="auto"/>
          <w:sz w:val="20"/>
          <w:szCs w:val="20"/>
        </w:rPr>
        <w:t xml:space="preserve"> </w:t>
      </w:r>
      <w:hyperlink r:id="rId59" w:anchor="LNK0004" w:history="1">
        <w:r w:rsidRPr="00032757">
          <w:rPr>
            <w:b/>
            <w:color w:val="auto"/>
            <w:sz w:val="20"/>
            <w:szCs w:val="20"/>
          </w:rPr>
          <w:t>24</w:t>
        </w:r>
      </w:hyperlink>
      <w:r w:rsidRPr="00032757">
        <w:rPr>
          <w:b/>
          <w:color w:val="auto"/>
          <w:sz w:val="20"/>
          <w:szCs w:val="20"/>
        </w:rPr>
        <w:t>.</w:t>
      </w:r>
      <w:r w:rsidRPr="00032757">
        <w:rPr>
          <w:sz w:val="20"/>
          <w:szCs w:val="20"/>
        </w:rPr>
        <w:t xml:space="preserve"> &lt;L 17-07-1975, art. 18&gt; Si la partie à la comptabilité de laquelle on offre d'ajouter foi refuse de la représenter, le juge peut déférer le serment à l'autre partie.  </w:t>
      </w:r>
    </w:p>
    <w:p w14:paraId="0693B490" w14:textId="77777777" w:rsidR="002432FF" w:rsidRDefault="002432FF" w:rsidP="004C64BF">
      <w:pPr>
        <w:pStyle w:val="Titre3"/>
        <w:spacing w:after="280" w:afterAutospacing="1"/>
        <w:jc w:val="both"/>
      </w:pPr>
      <w:bookmarkStart w:id="81" w:name="Rappel_015018986119147315_8628"/>
      <w:bookmarkStart w:id="82" w:name="_Toc482815584"/>
      <w:bookmarkEnd w:id="81"/>
      <w:r>
        <w:lastRenderedPageBreak/>
        <w:t>Résumé</w:t>
      </w:r>
      <w:bookmarkEnd w:id="82"/>
    </w:p>
    <w:p w14:paraId="0693B491" w14:textId="6A6FBBF2" w:rsidR="002432FF" w:rsidRPr="002432FF" w:rsidRDefault="002432FF" w:rsidP="002432FF">
      <w:r>
        <w:t xml:space="preserve">   </w:t>
      </w:r>
      <w:r w:rsidR="00C06C2A">
        <w:rPr>
          <w:noProof/>
          <w:lang w:eastAsia="fr-BE"/>
        </w:rPr>
        <w:drawing>
          <wp:inline distT="0" distB="0" distL="0" distR="0" wp14:anchorId="0E723BAB" wp14:editId="25FB8971">
            <wp:extent cx="2798076" cy="2600325"/>
            <wp:effectExtent l="0" t="0" r="254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P_20150210_19_10_09_Smart.jpg"/>
                    <pic:cNvPicPr/>
                  </pic:nvPicPr>
                  <pic:blipFill rotWithShape="1">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798076" cy="2600325"/>
                    </a:xfrm>
                    <a:prstGeom prst="rect">
                      <a:avLst/>
                    </a:prstGeom>
                    <a:ln>
                      <a:noFill/>
                    </a:ln>
                    <a:extLst>
                      <a:ext uri="{53640926-AAD7-44D8-BBD7-CCE9431645EC}">
                        <a14:shadowObscured xmlns:a14="http://schemas.microsoft.com/office/drawing/2010/main"/>
                      </a:ext>
                    </a:extLst>
                  </pic:spPr>
                </pic:pic>
              </a:graphicData>
            </a:graphic>
          </wp:inline>
        </w:drawing>
      </w:r>
      <w:r w:rsidR="00C06C2A">
        <w:t xml:space="preserve">.  </w:t>
      </w:r>
      <w:r w:rsidR="00C06C2A">
        <w:rPr>
          <w:noProof/>
          <w:lang w:eastAsia="fr-BE"/>
        </w:rPr>
        <w:drawing>
          <wp:inline distT="0" distB="0" distL="0" distR="0" wp14:anchorId="5B8A2900" wp14:editId="03B28573">
            <wp:extent cx="2425247" cy="2602230"/>
            <wp:effectExtent l="0" t="0" r="0" b="762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P_20150210_19_10_27_Smart.jpg"/>
                    <pic:cNvPicPr/>
                  </pic:nvPicPr>
                  <pic:blipFill rotWithShape="1">
                    <a:blip r:embed="rId62" cstate="print">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val="0"/>
                        </a:ext>
                      </a:extLst>
                    </a:blip>
                    <a:srcRect l="27949" r="19626"/>
                    <a:stretch/>
                  </pic:blipFill>
                  <pic:spPr bwMode="auto">
                    <a:xfrm>
                      <a:off x="0" y="0"/>
                      <a:ext cx="2426408" cy="2603476"/>
                    </a:xfrm>
                    <a:prstGeom prst="rect">
                      <a:avLst/>
                    </a:prstGeom>
                    <a:ln>
                      <a:noFill/>
                    </a:ln>
                    <a:extLst>
                      <a:ext uri="{53640926-AAD7-44D8-BBD7-CCE9431645EC}">
                        <a14:shadowObscured xmlns:a14="http://schemas.microsoft.com/office/drawing/2010/main"/>
                      </a:ext>
                    </a:extLst>
                  </pic:spPr>
                </pic:pic>
              </a:graphicData>
            </a:graphic>
          </wp:inline>
        </w:drawing>
      </w:r>
    </w:p>
    <w:p w14:paraId="0693B492" w14:textId="77777777" w:rsidR="004C64BF" w:rsidRDefault="004C64BF" w:rsidP="004C64BF">
      <w:pPr>
        <w:pStyle w:val="Titre3"/>
        <w:spacing w:after="280" w:afterAutospacing="1"/>
        <w:jc w:val="both"/>
      </w:pPr>
      <w:bookmarkStart w:id="83" w:name="_Toc482815585"/>
      <w:r>
        <w:t>Rappel</w:t>
      </w:r>
      <w:bookmarkEnd w:id="83"/>
    </w:p>
    <w:p w14:paraId="0693B493" w14:textId="77777777" w:rsidR="004C64BF" w:rsidRPr="00032757" w:rsidRDefault="004C64BF" w:rsidP="004C64BF">
      <w:pPr>
        <w:pStyle w:val="Div"/>
        <w:spacing w:after="280" w:afterAutospacing="1"/>
        <w:jc w:val="both"/>
        <w:rPr>
          <w:sz w:val="20"/>
          <w:szCs w:val="20"/>
        </w:rPr>
      </w:pPr>
      <w:r w:rsidRPr="00032757">
        <w:rPr>
          <w:sz w:val="20"/>
          <w:szCs w:val="20"/>
        </w:rPr>
        <w:t>Autres obligations liées aux autres codes (Loi comptable de 1975</w:t>
      </w:r>
      <w:r w:rsidR="00032757">
        <w:rPr>
          <w:sz w:val="20"/>
          <w:szCs w:val="20"/>
          <w:lang w:val="fr-BE"/>
        </w:rPr>
        <w:t xml:space="preserve">, </w:t>
      </w:r>
      <w:r w:rsidRPr="00032757">
        <w:rPr>
          <w:sz w:val="20"/>
          <w:szCs w:val="20"/>
        </w:rPr>
        <w:t>Code TVA de 1971</w:t>
      </w:r>
      <w:r w:rsidR="00032757">
        <w:rPr>
          <w:sz w:val="20"/>
          <w:szCs w:val="20"/>
          <w:lang w:val="fr-BE"/>
        </w:rPr>
        <w:t>, Code des Sociétés</w:t>
      </w:r>
      <w:r w:rsidRPr="00032757">
        <w:rPr>
          <w:sz w:val="20"/>
          <w:szCs w:val="20"/>
        </w:rPr>
        <w:t xml:space="preserve">). </w:t>
      </w:r>
    </w:p>
    <w:p w14:paraId="0693B494" w14:textId="77777777" w:rsidR="004C64BF" w:rsidRPr="00032757" w:rsidRDefault="004C64BF" w:rsidP="004C64BF">
      <w:pPr>
        <w:pStyle w:val="Div"/>
        <w:spacing w:after="280" w:afterAutospacing="1"/>
        <w:jc w:val="both"/>
        <w:rPr>
          <w:sz w:val="20"/>
          <w:szCs w:val="20"/>
        </w:rPr>
      </w:pPr>
      <w:r w:rsidRPr="00032757">
        <w:rPr>
          <w:sz w:val="20"/>
          <w:szCs w:val="20"/>
        </w:rPr>
        <w:t xml:space="preserve">Voir également Droit fiscal. </w:t>
      </w:r>
    </w:p>
    <w:p w14:paraId="0693B495" w14:textId="77777777" w:rsidR="004C64BF" w:rsidRDefault="004C64BF" w:rsidP="00105A84">
      <w:pPr>
        <w:pStyle w:val="Titre2"/>
      </w:pPr>
      <w:bookmarkStart w:id="84" w:name="La_nature_juridique_du_fonds_d_157312276"/>
      <w:bookmarkStart w:id="85" w:name="_Toc482815586"/>
      <w:bookmarkEnd w:id="84"/>
      <w:r>
        <w:t>La nature juridique du fonds de commerce, ses éléments constitutifs, les opérations y relatives</w:t>
      </w:r>
      <w:bookmarkEnd w:id="85"/>
      <w:r>
        <w:t xml:space="preserve"> </w:t>
      </w:r>
    </w:p>
    <w:p w14:paraId="0693B496" w14:textId="77777777" w:rsidR="004C64BF" w:rsidRPr="006A3FCA" w:rsidRDefault="004C64BF" w:rsidP="004C64BF">
      <w:pPr>
        <w:pStyle w:val="Div"/>
        <w:spacing w:after="280" w:afterAutospacing="1"/>
        <w:jc w:val="both"/>
        <w:rPr>
          <w:sz w:val="20"/>
          <w:szCs w:val="20"/>
        </w:rPr>
      </w:pPr>
      <w:r w:rsidRPr="006A3FCA">
        <w:rPr>
          <w:sz w:val="20"/>
          <w:szCs w:val="20"/>
        </w:rPr>
        <w:t>Source</w:t>
      </w:r>
      <w:r w:rsidR="006A3FCA" w:rsidRPr="006A3FCA">
        <w:rPr>
          <w:sz w:val="20"/>
          <w:szCs w:val="20"/>
          <w:lang w:val="fr-BE"/>
        </w:rPr>
        <w:t> </w:t>
      </w:r>
      <w:r w:rsidRPr="006A3FCA">
        <w:rPr>
          <w:sz w:val="20"/>
          <w:szCs w:val="20"/>
        </w:rPr>
        <w:t>: </w:t>
      </w:r>
      <w:hyperlink r:id="rId64" w:history="1">
        <w:r w:rsidRPr="006A3FCA">
          <w:rPr>
            <w:color w:val="0000FF"/>
            <w:sz w:val="20"/>
            <w:szCs w:val="20"/>
            <w:u w:val="single"/>
          </w:rPr>
          <w:t>http://fr.wikipedia.org/wiki/Fonds_de_commerce</w:t>
        </w:r>
      </w:hyperlink>
      <w:r w:rsidRPr="006A3FCA">
        <w:rPr>
          <w:sz w:val="20"/>
          <w:szCs w:val="20"/>
        </w:rPr>
        <w:t xml:space="preserve"> </w:t>
      </w:r>
    </w:p>
    <w:p w14:paraId="0693B497" w14:textId="77777777" w:rsidR="004C64BF" w:rsidRPr="006A3FCA" w:rsidRDefault="004C64BF" w:rsidP="0005457C">
      <w:pPr>
        <w:pStyle w:val="StyleDivAprs14pt"/>
        <w:rPr>
          <w:sz w:val="20"/>
        </w:rPr>
      </w:pPr>
      <w:r w:rsidRPr="006A3FCA">
        <w:rPr>
          <w:sz w:val="20"/>
        </w:rPr>
        <w:t xml:space="preserve">“ Le fonds de commerce est une notion juridique existant dans certains droits tels que le droit français, le droit belge et le droit québécois, qui peut se définir comme un ensemble d'éléments mobiliers corporels et incorporels, constitué en vue d'attirer une clientèle. Le fonds de commerce est un bien composite, dans le sens où il est constitué de plusieurs autres biens. Il est considéré comme un meuble, par fiction juridique. </w:t>
      </w:r>
    </w:p>
    <w:p w14:paraId="0693B498" w14:textId="77777777" w:rsidR="004C64BF" w:rsidRPr="006A3FCA" w:rsidRDefault="004C64BF" w:rsidP="0005457C">
      <w:pPr>
        <w:pStyle w:val="StyleDivAprs14pt"/>
        <w:rPr>
          <w:sz w:val="20"/>
        </w:rPr>
      </w:pPr>
      <w:r w:rsidRPr="006A3FCA">
        <w:rPr>
          <w:sz w:val="20"/>
        </w:rPr>
        <w:t xml:space="preserve">La notion de fonds de commerce concerne essentiellement les entreprises du secteur de la vente ou du service direct à la clientèle. Elle matérialise et valorise la position de l'entreprise par rapport à sa clientèle. </w:t>
      </w:r>
    </w:p>
    <w:p w14:paraId="0693B499" w14:textId="77777777" w:rsidR="004C64BF" w:rsidRPr="006A3FCA" w:rsidRDefault="004C64BF" w:rsidP="0005457C">
      <w:pPr>
        <w:pStyle w:val="StyleDivAprs14pt"/>
        <w:rPr>
          <w:sz w:val="20"/>
        </w:rPr>
      </w:pPr>
      <w:r w:rsidRPr="006A3FCA">
        <w:rPr>
          <w:sz w:val="20"/>
        </w:rPr>
        <w:t xml:space="preserve">Le fonds de commerce est un </w:t>
      </w:r>
      <w:r w:rsidRPr="006A3FCA">
        <w:rPr>
          <w:b/>
          <w:sz w:val="20"/>
        </w:rPr>
        <w:t>bien mobilier incorporel</w:t>
      </w:r>
      <w:r w:rsidRPr="006A3FCA">
        <w:rPr>
          <w:sz w:val="20"/>
        </w:rPr>
        <w:t xml:space="preserve">. On peut le considérer comme une universalité de fait, c’est-à-dire un bilan qui enveloppe un ensemble d'éléments mobiliers qui sont eux-mêmes corporels ou incorporels. Il comprend l'ensemble des éléments affectés par un commerçant à une exploitation en vue de satisfaire une clientèle. </w:t>
      </w:r>
    </w:p>
    <w:p w14:paraId="0693B49A" w14:textId="77777777" w:rsidR="004C64BF" w:rsidRPr="006A3FCA" w:rsidRDefault="004C64BF" w:rsidP="0005457C">
      <w:pPr>
        <w:pStyle w:val="StyleDivAprs14pt"/>
        <w:rPr>
          <w:sz w:val="20"/>
        </w:rPr>
      </w:pPr>
      <w:r w:rsidRPr="006A3FCA">
        <w:rPr>
          <w:sz w:val="20"/>
        </w:rPr>
        <w:t xml:space="preserve">Il est indispensable de bien distinguer le fonds de commerce d'une part, et les éléments qui le composent d'autre part. En effet celui-ci est plus que la somme des éléments le composant. Ainsi, il y aura toujours fonds de commerce alors même que la totalité de ses éléments auraient été amenés </w:t>
      </w:r>
      <w:r w:rsidRPr="006A3FCA">
        <w:rPr>
          <w:sz w:val="20"/>
        </w:rPr>
        <w:lastRenderedPageBreak/>
        <w:t xml:space="preserve">à disparaître, à être détruits ou bien vendus. Il ne peut y avoir fonds de commerce sans clientèle. De la sorte, cette dernière est plus qu'un élément du fonds de commerce, elle en est sa finalité. </w:t>
      </w:r>
    </w:p>
    <w:p w14:paraId="0693B49B" w14:textId="77777777" w:rsidR="004C64BF" w:rsidRPr="006A3FCA" w:rsidRDefault="004C64BF" w:rsidP="0005457C">
      <w:pPr>
        <w:pStyle w:val="StyleDivAprs14pt"/>
        <w:rPr>
          <w:sz w:val="20"/>
        </w:rPr>
      </w:pPr>
      <w:r w:rsidRPr="006A3FCA">
        <w:rPr>
          <w:sz w:val="20"/>
        </w:rPr>
        <w:t xml:space="preserve">Les éléments pouvant être inclus dans un fonds de commerce sont listés à l'article L142-2 du Code de Commerce et se divisent en deux catégories, les biens incorporels et les biens corporels. </w:t>
      </w:r>
    </w:p>
    <w:p w14:paraId="0693B49C" w14:textId="77777777" w:rsidR="004C64BF" w:rsidRPr="006A3FCA" w:rsidRDefault="004C64BF" w:rsidP="006A3FCA">
      <w:pPr>
        <w:pStyle w:val="Ul"/>
        <w:rPr>
          <w:sz w:val="20"/>
          <w:szCs w:val="20"/>
        </w:rPr>
      </w:pPr>
      <w:r w:rsidRPr="006A3FCA">
        <w:rPr>
          <w:sz w:val="20"/>
          <w:szCs w:val="20"/>
        </w:rPr>
        <w:t xml:space="preserve">Les éléments incorporels d'un fonds de commerce sont: </w:t>
      </w:r>
    </w:p>
    <w:p w14:paraId="0693B49D" w14:textId="77777777" w:rsidR="004C64BF" w:rsidRPr="006A3FCA" w:rsidRDefault="004C64BF" w:rsidP="00C25C8C">
      <w:pPr>
        <w:pStyle w:val="Li"/>
        <w:numPr>
          <w:ilvl w:val="0"/>
          <w:numId w:val="11"/>
        </w:numPr>
        <w:rPr>
          <w:sz w:val="20"/>
          <w:szCs w:val="20"/>
        </w:rPr>
      </w:pPr>
      <w:r w:rsidRPr="006A3FCA">
        <w:rPr>
          <w:sz w:val="20"/>
          <w:szCs w:val="20"/>
        </w:rPr>
        <w:t xml:space="preserve">la clientèle </w:t>
      </w:r>
    </w:p>
    <w:p w14:paraId="0693B49E" w14:textId="77777777" w:rsidR="004C64BF" w:rsidRPr="006A3FCA" w:rsidRDefault="004C64BF" w:rsidP="00C25C8C">
      <w:pPr>
        <w:pStyle w:val="Li"/>
        <w:numPr>
          <w:ilvl w:val="0"/>
          <w:numId w:val="11"/>
        </w:numPr>
        <w:rPr>
          <w:sz w:val="20"/>
          <w:szCs w:val="20"/>
        </w:rPr>
      </w:pPr>
      <w:r w:rsidRPr="006A3FCA">
        <w:rPr>
          <w:sz w:val="20"/>
          <w:szCs w:val="20"/>
        </w:rPr>
        <w:t xml:space="preserve">le droit au bail, </w:t>
      </w:r>
    </w:p>
    <w:p w14:paraId="0693B49F" w14:textId="77777777" w:rsidR="004C64BF" w:rsidRPr="006A3FCA" w:rsidRDefault="004C64BF" w:rsidP="00C25C8C">
      <w:pPr>
        <w:pStyle w:val="Li"/>
        <w:numPr>
          <w:ilvl w:val="0"/>
          <w:numId w:val="11"/>
        </w:numPr>
        <w:rPr>
          <w:sz w:val="20"/>
          <w:szCs w:val="20"/>
        </w:rPr>
      </w:pPr>
      <w:r w:rsidRPr="006A3FCA">
        <w:rPr>
          <w:sz w:val="20"/>
          <w:szCs w:val="20"/>
        </w:rPr>
        <w:t xml:space="preserve">l'enseigne et le nom commercial, </w:t>
      </w:r>
    </w:p>
    <w:p w14:paraId="0693B4A0" w14:textId="77777777" w:rsidR="004C64BF" w:rsidRPr="006A3FCA" w:rsidRDefault="004C64BF" w:rsidP="00C25C8C">
      <w:pPr>
        <w:pStyle w:val="Li"/>
        <w:numPr>
          <w:ilvl w:val="0"/>
          <w:numId w:val="11"/>
        </w:numPr>
        <w:spacing w:after="280" w:afterAutospacing="1"/>
        <w:rPr>
          <w:sz w:val="20"/>
          <w:szCs w:val="20"/>
        </w:rPr>
      </w:pPr>
      <w:r w:rsidRPr="006A3FCA">
        <w:rPr>
          <w:sz w:val="20"/>
          <w:szCs w:val="20"/>
        </w:rPr>
        <w:t xml:space="preserve">certaines autorisations administratives, les marques, brevets, logiciels. </w:t>
      </w:r>
    </w:p>
    <w:p w14:paraId="0693B4A1" w14:textId="77777777" w:rsidR="004C64BF" w:rsidRPr="006A3FCA" w:rsidRDefault="004C64BF" w:rsidP="006A3FCA">
      <w:pPr>
        <w:pStyle w:val="Ul"/>
        <w:rPr>
          <w:sz w:val="20"/>
          <w:szCs w:val="20"/>
        </w:rPr>
      </w:pPr>
      <w:r w:rsidRPr="006A3FCA">
        <w:rPr>
          <w:sz w:val="20"/>
          <w:szCs w:val="20"/>
        </w:rPr>
        <w:t xml:space="preserve">Les éléments corporels du fonds de commerce sont essentiellement: </w:t>
      </w:r>
    </w:p>
    <w:p w14:paraId="0693B4A2" w14:textId="77777777" w:rsidR="004C64BF" w:rsidRPr="006A3FCA" w:rsidRDefault="004C64BF" w:rsidP="00C25C8C">
      <w:pPr>
        <w:pStyle w:val="Li"/>
        <w:numPr>
          <w:ilvl w:val="0"/>
          <w:numId w:val="12"/>
        </w:numPr>
        <w:rPr>
          <w:sz w:val="20"/>
          <w:szCs w:val="20"/>
        </w:rPr>
      </w:pPr>
      <w:r w:rsidRPr="006A3FCA">
        <w:rPr>
          <w:sz w:val="20"/>
          <w:szCs w:val="20"/>
        </w:rPr>
        <w:t xml:space="preserve">les marchandises, </w:t>
      </w:r>
    </w:p>
    <w:p w14:paraId="0693B4A3" w14:textId="77777777" w:rsidR="004C64BF" w:rsidRPr="006A3FCA" w:rsidRDefault="004C64BF" w:rsidP="00C25C8C">
      <w:pPr>
        <w:pStyle w:val="Li"/>
        <w:numPr>
          <w:ilvl w:val="0"/>
          <w:numId w:val="12"/>
        </w:numPr>
        <w:spacing w:after="280" w:afterAutospacing="1"/>
        <w:rPr>
          <w:sz w:val="20"/>
          <w:szCs w:val="20"/>
        </w:rPr>
      </w:pPr>
      <w:r w:rsidRPr="006A3FCA">
        <w:rPr>
          <w:sz w:val="20"/>
          <w:szCs w:val="20"/>
        </w:rPr>
        <w:t xml:space="preserve">le matériel. </w:t>
      </w:r>
    </w:p>
    <w:p w14:paraId="0693B4A4" w14:textId="77777777" w:rsidR="004C64BF" w:rsidRPr="006A3FCA" w:rsidRDefault="004C64BF" w:rsidP="0005457C">
      <w:pPr>
        <w:pStyle w:val="StyleDivAprs14pt"/>
        <w:rPr>
          <w:sz w:val="20"/>
        </w:rPr>
      </w:pPr>
      <w:r w:rsidRPr="006A3FCA">
        <w:rPr>
          <w:sz w:val="20"/>
        </w:rPr>
        <w:t xml:space="preserve">Pour beaucoup d'auteurs, la notion de fonds de commerce est aujourd'hui inadaptée à la vie des affaires, surtout à cause de la complexification des structures commerciales et des opérations de distribution. ” </w:t>
      </w:r>
    </w:p>
    <w:p w14:paraId="0693B4A5" w14:textId="77777777" w:rsidR="004C64BF" w:rsidRDefault="004C64BF" w:rsidP="004C64BF">
      <w:pPr>
        <w:pStyle w:val="Div"/>
        <w:spacing w:after="280" w:afterAutospacing="1"/>
        <w:jc w:val="both"/>
      </w:pPr>
      <w:r>
        <w:t xml:space="preserve">  </w:t>
      </w:r>
    </w:p>
    <w:p w14:paraId="0693B4A6" w14:textId="77777777" w:rsidR="004C64BF" w:rsidRDefault="004C64BF" w:rsidP="00105A84">
      <w:pPr>
        <w:pStyle w:val="Titre2"/>
      </w:pPr>
      <w:bookmarkStart w:id="86" w:name="Les_modes_de_preuve_en_mati_re_444190978"/>
      <w:bookmarkStart w:id="87" w:name="_Toc482815587"/>
      <w:bookmarkEnd w:id="86"/>
      <w:r>
        <w:t>Les modes de preuve en matière commerciale</w:t>
      </w:r>
      <w:bookmarkEnd w:id="87"/>
      <w:r>
        <w:t xml:space="preserve"> </w:t>
      </w:r>
    </w:p>
    <w:p w14:paraId="0693B4A7" w14:textId="77777777" w:rsidR="004C64BF" w:rsidRPr="006A3FCA" w:rsidRDefault="004C64BF" w:rsidP="0005457C">
      <w:pPr>
        <w:pStyle w:val="StyleDivAprs14pt"/>
        <w:rPr>
          <w:sz w:val="20"/>
        </w:rPr>
      </w:pPr>
      <w:bookmarkStart w:id="88" w:name="Art.25"/>
      <w:r w:rsidRPr="006A3FCA">
        <w:rPr>
          <w:b/>
          <w:color w:val="auto"/>
          <w:sz w:val="20"/>
        </w:rPr>
        <w:t>Art.</w:t>
      </w:r>
      <w:bookmarkEnd w:id="88"/>
      <w:r w:rsidRPr="006A3FCA">
        <w:rPr>
          <w:b/>
          <w:color w:val="auto"/>
          <w:sz w:val="20"/>
        </w:rPr>
        <w:t xml:space="preserve"> </w:t>
      </w:r>
      <w:hyperlink r:id="rId65" w:anchor="LNK0005" w:history="1">
        <w:r w:rsidRPr="006A3FCA">
          <w:rPr>
            <w:b/>
            <w:color w:val="auto"/>
            <w:sz w:val="20"/>
          </w:rPr>
          <w:t>25</w:t>
        </w:r>
      </w:hyperlink>
      <w:r w:rsidRPr="006A3FCA">
        <w:rPr>
          <w:b/>
          <w:color w:val="auto"/>
          <w:sz w:val="20"/>
        </w:rPr>
        <w:t>.</w:t>
      </w:r>
      <w:r w:rsidRPr="006A3FCA">
        <w:rPr>
          <w:sz w:val="20"/>
        </w:rPr>
        <w:t xml:space="preserve"> &lt;L 15-12-1872&gt; Indépendamment des moyens de </w:t>
      </w:r>
      <w:hyperlink r:id="rId66" w:anchor="hit2" w:tgtFrame="_self" w:history="1">
        <w:r w:rsidRPr="006A3FCA">
          <w:rPr>
            <w:color w:val="0000FF"/>
            <w:sz w:val="20"/>
            <w:u w:val="single"/>
          </w:rPr>
          <w:t>&lt;</w:t>
        </w:r>
      </w:hyperlink>
      <w:r w:rsidRPr="006A3FCA">
        <w:rPr>
          <w:color w:val="FF0000"/>
          <w:sz w:val="20"/>
        </w:rPr>
        <w:t>preuve</w:t>
      </w:r>
      <w:hyperlink r:id="rId67" w:anchor="hit4" w:tgtFrame="_self" w:history="1">
        <w:r w:rsidRPr="006A3FCA">
          <w:rPr>
            <w:color w:val="0000FF"/>
            <w:sz w:val="20"/>
            <w:u w:val="single"/>
          </w:rPr>
          <w:t>&gt;</w:t>
        </w:r>
      </w:hyperlink>
      <w:r w:rsidRPr="006A3FCA">
        <w:rPr>
          <w:sz w:val="20"/>
        </w:rPr>
        <w:t xml:space="preserve"> admis par le droit civil, les engagements commerciaux pourront être constatés par la </w:t>
      </w:r>
      <w:hyperlink r:id="rId68" w:anchor="hit3" w:tgtFrame="_self" w:history="1">
        <w:r w:rsidRPr="006A3FCA">
          <w:rPr>
            <w:color w:val="0000FF"/>
            <w:sz w:val="20"/>
            <w:u w:val="single"/>
          </w:rPr>
          <w:t>&lt;</w:t>
        </w:r>
      </w:hyperlink>
      <w:r w:rsidRPr="006A3FCA">
        <w:rPr>
          <w:color w:val="FF0000"/>
          <w:sz w:val="20"/>
        </w:rPr>
        <w:t>preuve</w:t>
      </w:r>
      <w:hyperlink r:id="rId69" w:anchor="hit5" w:tgtFrame="_self" w:history="1">
        <w:r w:rsidRPr="006A3FCA">
          <w:rPr>
            <w:color w:val="0000FF"/>
            <w:sz w:val="20"/>
            <w:u w:val="single"/>
          </w:rPr>
          <w:t>&gt;</w:t>
        </w:r>
      </w:hyperlink>
      <w:r w:rsidRPr="006A3FCA">
        <w:rPr>
          <w:sz w:val="20"/>
        </w:rPr>
        <w:t xml:space="preserve"> testimoniale, dans tous les cas où le tribunal croira devoir l'admettre, sauf les exceptions établies pour des</w:t>
      </w:r>
      <w:r w:rsidR="006A3FCA">
        <w:rPr>
          <w:sz w:val="20"/>
        </w:rPr>
        <w:t xml:space="preserve"> cas particuliers.</w:t>
      </w:r>
      <w:r w:rsidR="006A3FCA">
        <w:rPr>
          <w:sz w:val="20"/>
        </w:rPr>
        <w:br/>
      </w:r>
      <w:r w:rsidRPr="006A3FCA">
        <w:rPr>
          <w:sz w:val="20"/>
        </w:rPr>
        <w:t xml:space="preserve">Les achats et les ventes pourront se prouver au moyen d'une facture acceptée, sans préjudice des autres modes de </w:t>
      </w:r>
      <w:hyperlink r:id="rId70" w:anchor="hit4" w:tgtFrame="_self" w:history="1">
        <w:r w:rsidRPr="006A3FCA">
          <w:rPr>
            <w:color w:val="0000FF"/>
            <w:sz w:val="20"/>
            <w:u w:val="single"/>
          </w:rPr>
          <w:t>&lt;</w:t>
        </w:r>
      </w:hyperlink>
      <w:r w:rsidRPr="006A3FCA">
        <w:rPr>
          <w:color w:val="FF0000"/>
          <w:sz w:val="20"/>
        </w:rPr>
        <w:t>preuve</w:t>
      </w:r>
      <w:hyperlink r:id="rId71" w:anchor="hit6" w:tgtFrame="_self" w:history="1">
        <w:r w:rsidRPr="006A3FCA">
          <w:rPr>
            <w:color w:val="0000FF"/>
            <w:sz w:val="20"/>
            <w:u w:val="single"/>
          </w:rPr>
          <w:t>&gt;</w:t>
        </w:r>
      </w:hyperlink>
      <w:r w:rsidRPr="006A3FCA">
        <w:rPr>
          <w:sz w:val="20"/>
        </w:rPr>
        <w:t xml:space="preserve"> admis par la loi commerciale. </w:t>
      </w:r>
    </w:p>
    <w:p w14:paraId="0693B4A8" w14:textId="77777777" w:rsidR="004C64BF" w:rsidRDefault="004C64BF" w:rsidP="0005457C">
      <w:pPr>
        <w:pStyle w:val="StyleDivAprs14pt"/>
      </w:pPr>
      <w:r>
        <w:br/>
        <w:t xml:space="preserve">  </w:t>
      </w:r>
    </w:p>
    <w:p w14:paraId="0693B4A9" w14:textId="77777777" w:rsidR="004C64BF" w:rsidRDefault="004C64BF" w:rsidP="004C64BF"/>
    <w:p w14:paraId="0693B4AA" w14:textId="77777777" w:rsidR="004C64BF" w:rsidRDefault="004C64BF" w:rsidP="00266865">
      <w:pPr>
        <w:pStyle w:val="Titre1"/>
      </w:pPr>
      <w:bookmarkStart w:id="89" w:name="Moyens_de_paiement_commerciaux_683677050"/>
      <w:bookmarkStart w:id="90" w:name="_Toc482815588"/>
      <w:bookmarkEnd w:id="89"/>
      <w:r>
        <w:lastRenderedPageBreak/>
        <w:t>Moyens de paiement commerciaux</w:t>
      </w:r>
      <w:bookmarkEnd w:id="90"/>
      <w:r>
        <w:t xml:space="preserve"> </w:t>
      </w:r>
    </w:p>
    <w:p w14:paraId="404508E6" w14:textId="337325B0" w:rsidR="00772723" w:rsidRDefault="00772723">
      <w:r>
        <w:br w:type="page"/>
      </w:r>
    </w:p>
    <w:p w14:paraId="0693B4AB" w14:textId="77777777" w:rsidR="004C64BF" w:rsidRDefault="004C64BF" w:rsidP="00105A84">
      <w:pPr>
        <w:pStyle w:val="Titre2"/>
      </w:pPr>
      <w:bookmarkStart w:id="91" w:name="Rappel_du_Mon_tarisme_de_Milto"/>
      <w:bookmarkStart w:id="92" w:name="_Toc482815589"/>
      <w:bookmarkEnd w:id="91"/>
      <w:r>
        <w:lastRenderedPageBreak/>
        <w:t xml:space="preserve">Rappel du </w:t>
      </w:r>
      <w:hyperlink r:id="rId72" w:history="1">
        <w:r w:rsidR="00854DF6" w:rsidRPr="00854DF6">
          <w:rPr>
            <w:rStyle w:val="Lienhypertexte"/>
          </w:rPr>
          <w:t>Keynésianisme</w:t>
        </w:r>
      </w:hyperlink>
      <w:r w:rsidR="00854DF6">
        <w:t xml:space="preserve"> et du </w:t>
      </w:r>
      <w:hyperlink r:id="rId73" w:history="1">
        <w:bookmarkStart w:id="93" w:name="z5l1"/>
        <w:r>
          <w:rPr>
            <w:color w:val="0000FF"/>
            <w:u w:val="single"/>
          </w:rPr>
          <w:t>Monétarisme</w:t>
        </w:r>
      </w:hyperlink>
      <w:bookmarkEnd w:id="93"/>
      <w:r>
        <w:t xml:space="preserve"> de </w:t>
      </w:r>
      <w:hyperlink r:id="rId74" w:history="1">
        <w:bookmarkStart w:id="94" w:name="kmpm"/>
        <w:r>
          <w:rPr>
            <w:color w:val="0000FF"/>
            <w:u w:val="single"/>
          </w:rPr>
          <w:t>Milton Friedman</w:t>
        </w:r>
        <w:bookmarkEnd w:id="92"/>
      </w:hyperlink>
      <w:bookmarkEnd w:id="94"/>
      <w:r>
        <w:t xml:space="preserve"> </w:t>
      </w:r>
    </w:p>
    <w:p w14:paraId="0693B4AC" w14:textId="77777777" w:rsidR="004C64BF" w:rsidRDefault="004C64BF" w:rsidP="0005457C">
      <w:pPr>
        <w:pStyle w:val="StyleDivAprs14pt"/>
      </w:pPr>
      <w:r>
        <w:t xml:space="preserve">L'argent s'écoule des offreurs (ménages et PME avec Y = C + S) vers les offreurs (Etat et GE avec Y = C + I). </w:t>
      </w:r>
    </w:p>
    <w:p w14:paraId="0693B4AD" w14:textId="77777777" w:rsidR="004C64BF" w:rsidRDefault="004C64BF" w:rsidP="0005457C">
      <w:pPr>
        <w:pStyle w:val="StyleDivAprs14pt"/>
      </w:pPr>
      <w:r>
        <w:t xml:space="preserve">Pour relancer l'économie, le monétarisme recommande aux états de jouer sur les taux (= prix = loyers) de l'argent via les banques centrales; alors que le Keynésianisme recommandait à l'Etat de lancer de grands travaux. </w:t>
      </w:r>
    </w:p>
    <w:p w14:paraId="0693B4AE" w14:textId="77777777" w:rsidR="004C64BF" w:rsidRDefault="004C64BF" w:rsidP="0005457C">
      <w:pPr>
        <w:pStyle w:val="StyleDivAprs14pt"/>
      </w:pPr>
      <w:r>
        <w:t xml:space="preserve">Les banques s'occupent de la partie supérieure (plus liquide) de ce fleuve d'argent, soit la monnaie (= Marché monétaire). </w:t>
      </w:r>
    </w:p>
    <w:p w14:paraId="0693B4AF" w14:textId="77777777" w:rsidR="004C64BF" w:rsidRDefault="004C64BF" w:rsidP="0005457C">
      <w:pPr>
        <w:pStyle w:val="StyleDivAprs14pt"/>
      </w:pPr>
      <w:r>
        <w:t xml:space="preserve">Les bourses s'occupent de la partie inférieure (moins liquide) de ce fleuve d'argent, soit les capitaux (Marché des capitaux ou Marché financier). </w:t>
      </w:r>
    </w:p>
    <w:p w14:paraId="0693B4B0" w14:textId="77777777" w:rsidR="004C64BF" w:rsidRDefault="004C64BF" w:rsidP="0005457C">
      <w:pPr>
        <w:pStyle w:val="StyleDivAprs14pt"/>
        <w:rPr>
          <w:lang w:val="fr-BE"/>
        </w:rPr>
      </w:pPr>
      <w:r>
        <w:t xml:space="preserve">Le produit commun traité par les banques et les bourses sont les bons de caisse (qui ne sont que des produits dérivés d'emprunts d'état, que les banques doivent écouler à cause de la loi appelée Astreinte). </w:t>
      </w:r>
    </w:p>
    <w:p w14:paraId="0693B4B1" w14:textId="77777777" w:rsidR="00CD340A" w:rsidRDefault="00FB0892" w:rsidP="00CD340A">
      <w:pPr>
        <w:spacing w:before="240"/>
        <w:ind w:right="16"/>
        <w:jc w:val="both"/>
        <w:rPr>
          <w:snapToGrid w:val="0"/>
          <w:color w:val="000000"/>
        </w:rPr>
      </w:pPr>
      <w:r>
        <w:rPr>
          <w:noProof/>
          <w:color w:val="000000"/>
          <w:lang w:eastAsia="fr-BE"/>
        </w:rPr>
        <w:drawing>
          <wp:inline distT="0" distB="0" distL="0" distR="0" wp14:anchorId="0693BAC6" wp14:editId="0693BAC7">
            <wp:extent cx="5724525" cy="95250"/>
            <wp:effectExtent l="0" t="0" r="9525" b="0"/>
            <wp:docPr id="7" name="Image 7"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358_"/>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95250"/>
                    </a:xfrm>
                    <a:prstGeom prst="rect">
                      <a:avLst/>
                    </a:prstGeom>
                    <a:noFill/>
                    <a:ln>
                      <a:noFill/>
                    </a:ln>
                  </pic:spPr>
                </pic:pic>
              </a:graphicData>
            </a:graphic>
          </wp:inline>
        </w:drawing>
      </w:r>
    </w:p>
    <w:p w14:paraId="0693B4B2" w14:textId="77777777" w:rsidR="00CD340A" w:rsidRDefault="00CD340A" w:rsidP="00CD340A">
      <w:pPr>
        <w:spacing w:before="240"/>
        <w:ind w:right="16"/>
        <w:jc w:val="both"/>
        <w:rPr>
          <w:snapToGrid w:val="0"/>
          <w:color w:val="000000"/>
        </w:rPr>
      </w:pPr>
    </w:p>
    <w:p w14:paraId="0693B4B3" w14:textId="77777777" w:rsidR="00CD340A" w:rsidRPr="0056383D" w:rsidRDefault="00CD340A" w:rsidP="00CD340A">
      <w:pPr>
        <w:spacing w:before="240"/>
        <w:ind w:right="16"/>
        <w:jc w:val="both"/>
        <w:rPr>
          <w:snapToGrid w:val="0"/>
          <w:color w:val="000000"/>
        </w:rPr>
      </w:pPr>
      <w:r w:rsidRPr="0056383D">
        <w:rPr>
          <w:snapToGrid w:val="0"/>
          <w:color w:val="000000"/>
        </w:rPr>
        <w:t>La macro-économie définit  comme agents économiques principaux, les particuliers, les entreprises, l’Etat et, très égoïstement, le reste du monde. Des échanges ont lieu entre ces agents : de l’argent contre des biens et des services. De plus, les particuliers et les entreprises se doivent de payer des impôts à l’Etat.</w:t>
      </w:r>
    </w:p>
    <w:p w14:paraId="0693B4B4" w14:textId="77777777" w:rsidR="00CD340A" w:rsidRPr="0056383D" w:rsidRDefault="00CD340A" w:rsidP="00CD340A">
      <w:pPr>
        <w:spacing w:before="240"/>
        <w:ind w:right="16"/>
        <w:jc w:val="both"/>
        <w:rPr>
          <w:snapToGrid w:val="0"/>
          <w:color w:val="000000"/>
        </w:rPr>
      </w:pPr>
      <w:r w:rsidRPr="0056383D">
        <w:rPr>
          <w:snapToGrid w:val="0"/>
          <w:color w:val="000000"/>
        </w:rPr>
        <w:t>Considérons les fameuses équations</w:t>
      </w:r>
      <w:r w:rsidRPr="00EB47DE">
        <w:rPr>
          <w:snapToGrid w:val="0"/>
          <w:position w:val="6"/>
          <w:sz w:val="16"/>
        </w:rPr>
        <w:footnoteReference w:id="12"/>
      </w:r>
      <w:r w:rsidRPr="0056383D">
        <w:rPr>
          <w:snapToGrid w:val="0"/>
          <w:color w:val="000000"/>
        </w:rPr>
        <w:t xml:space="preserve"> de </w:t>
      </w:r>
      <w:hyperlink r:id="rId76" w:history="1">
        <w:r w:rsidRPr="00A54B33">
          <w:rPr>
            <w:rStyle w:val="Lienhypertexte"/>
            <w:snapToGrid w:val="0"/>
          </w:rPr>
          <w:t>KEYNES</w:t>
        </w:r>
      </w:hyperlink>
      <w:r w:rsidR="0041495B" w:rsidRPr="0056383D">
        <w:rPr>
          <w:snapToGrid w:val="0"/>
          <w:color w:val="000000"/>
        </w:rPr>
        <w:fldChar w:fldCharType="begin"/>
      </w:r>
      <w:r w:rsidRPr="0056383D">
        <w:rPr>
          <w:snapToGrid w:val="0"/>
          <w:color w:val="000000"/>
        </w:rPr>
        <w:instrText xml:space="preserve"> XE "</w:instrText>
      </w:r>
      <w:r w:rsidRPr="0056383D">
        <w:instrText>KEYNES"</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(1883 - 1946). </w:t>
      </w:r>
    </w:p>
    <w:p w14:paraId="0693B4B5" w14:textId="77777777" w:rsidR="00CD340A" w:rsidRPr="0056383D" w:rsidRDefault="00CD340A" w:rsidP="00CD340A">
      <w:pPr>
        <w:ind w:right="16"/>
        <w:jc w:val="both"/>
        <w:rPr>
          <w:snapToGrid w:val="0"/>
          <w:color w:val="000000"/>
        </w:rPr>
      </w:pPr>
      <w:r w:rsidRPr="0056383D">
        <w:rPr>
          <w:snapToGrid w:val="0"/>
          <w:color w:val="000000"/>
        </w:rPr>
        <w:t xml:space="preserve">Celle qui est appliquée aux particuliers est </w:t>
      </w:r>
      <w:r w:rsidRPr="0056383D">
        <w:rPr>
          <w:b/>
          <w:snapToGrid w:val="0"/>
          <w:color w:val="000000"/>
        </w:rPr>
        <w:t>Y = C + S</w:t>
      </w:r>
      <w:r w:rsidRPr="0056383D">
        <w:rPr>
          <w:snapToGrid w:val="0"/>
          <w:color w:val="000000"/>
        </w:rPr>
        <w:t xml:space="preserve">, où </w:t>
      </w:r>
      <w:r w:rsidRPr="0056383D">
        <w:rPr>
          <w:b/>
          <w:snapToGrid w:val="0"/>
          <w:color w:val="000000"/>
        </w:rPr>
        <w:t>Y</w:t>
      </w:r>
      <w:r w:rsidRPr="0056383D">
        <w:rPr>
          <w:snapToGrid w:val="0"/>
          <w:color w:val="000000"/>
        </w:rPr>
        <w:t xml:space="preserve"> est le revenu, </w:t>
      </w:r>
      <w:r w:rsidRPr="0056383D">
        <w:rPr>
          <w:b/>
          <w:snapToGrid w:val="0"/>
          <w:color w:val="000000"/>
        </w:rPr>
        <w:t>C</w:t>
      </w:r>
      <w:r w:rsidRPr="0056383D">
        <w:rPr>
          <w:snapToGrid w:val="0"/>
          <w:color w:val="000000"/>
        </w:rPr>
        <w:t xml:space="preserve"> la consommation et </w:t>
      </w:r>
      <w:r w:rsidRPr="0056383D">
        <w:rPr>
          <w:b/>
          <w:snapToGrid w:val="0"/>
          <w:color w:val="000000"/>
        </w:rPr>
        <w:t xml:space="preserve"> S</w:t>
      </w:r>
      <w:r w:rsidRPr="0056383D">
        <w:rPr>
          <w:snapToGrid w:val="0"/>
          <w:color w:val="000000"/>
        </w:rPr>
        <w:t xml:space="preserve"> l’épargne. Elle exprime donc que le revenu des particuliers est utilisé pour la consommation et que la partie non consommée de ce revenu est épargnée.</w:t>
      </w:r>
    </w:p>
    <w:p w14:paraId="0693B4B6" w14:textId="77777777" w:rsidR="00CD340A" w:rsidRPr="0056383D" w:rsidRDefault="00CD340A" w:rsidP="00CD340A">
      <w:pPr>
        <w:ind w:right="16"/>
        <w:jc w:val="both"/>
        <w:rPr>
          <w:snapToGrid w:val="0"/>
          <w:color w:val="000000"/>
        </w:rPr>
      </w:pPr>
      <w:r w:rsidRPr="0056383D">
        <w:rPr>
          <w:snapToGrid w:val="0"/>
          <w:color w:val="000000"/>
        </w:rPr>
        <w:t xml:space="preserve">Celle qui est appliquée aux entreprises est </w:t>
      </w:r>
      <w:r w:rsidRPr="0056383D">
        <w:rPr>
          <w:b/>
          <w:snapToGrid w:val="0"/>
          <w:color w:val="000000"/>
        </w:rPr>
        <w:t>Y = C + I</w:t>
      </w:r>
      <w:r w:rsidRPr="0056383D">
        <w:rPr>
          <w:snapToGrid w:val="0"/>
          <w:color w:val="000000"/>
        </w:rPr>
        <w:t xml:space="preserve">, où </w:t>
      </w:r>
      <w:r w:rsidRPr="0056383D">
        <w:rPr>
          <w:b/>
          <w:snapToGrid w:val="0"/>
          <w:color w:val="000000"/>
        </w:rPr>
        <w:t>Y</w:t>
      </w:r>
      <w:r w:rsidRPr="0056383D">
        <w:rPr>
          <w:snapToGrid w:val="0"/>
          <w:color w:val="000000"/>
        </w:rPr>
        <w:t xml:space="preserve"> est le revenu, </w:t>
      </w:r>
      <w:r w:rsidRPr="0056383D">
        <w:rPr>
          <w:b/>
          <w:snapToGrid w:val="0"/>
          <w:color w:val="000000"/>
        </w:rPr>
        <w:t>C</w:t>
      </w:r>
      <w:r w:rsidRPr="0056383D">
        <w:rPr>
          <w:snapToGrid w:val="0"/>
          <w:color w:val="000000"/>
        </w:rPr>
        <w:t xml:space="preserve"> la consommation et </w:t>
      </w:r>
      <w:r w:rsidRPr="0056383D">
        <w:rPr>
          <w:b/>
          <w:snapToGrid w:val="0"/>
          <w:color w:val="000000"/>
        </w:rPr>
        <w:t xml:space="preserve"> I</w:t>
      </w:r>
      <w:r w:rsidRPr="0056383D">
        <w:rPr>
          <w:snapToGrid w:val="0"/>
          <w:color w:val="000000"/>
        </w:rPr>
        <w:t xml:space="preserve"> l’investissement. Cette équation exprime que les revenus des entreprises sont répartis entre la consommation et les investissements.</w:t>
      </w:r>
    </w:p>
    <w:p w14:paraId="0693B4B7" w14:textId="77777777" w:rsidR="00CD340A" w:rsidRPr="0056383D" w:rsidRDefault="00CD340A" w:rsidP="00CD340A">
      <w:pPr>
        <w:ind w:right="16"/>
        <w:jc w:val="both"/>
        <w:rPr>
          <w:snapToGrid w:val="0"/>
          <w:color w:val="000000"/>
        </w:rPr>
      </w:pPr>
      <w:r w:rsidRPr="0056383D">
        <w:rPr>
          <w:snapToGrid w:val="0"/>
          <w:color w:val="000000"/>
        </w:rPr>
        <w:t>Par conséquent, un circuit va s’installer entre les offreurs et les demandeurs d’argent. Un marché est donc à prendre et c’est ainsi que va naître un média situé entre les offreurs et les demandeurs d’argent, le métier de banquier, dont le but consiste à orchestrer l’offre et la demande d’argent.</w:t>
      </w:r>
    </w:p>
    <w:p w14:paraId="0693B4B8" w14:textId="77777777" w:rsidR="00CD340A" w:rsidRPr="0056383D" w:rsidRDefault="00FB0892" w:rsidP="00CD340A">
      <w:pPr>
        <w:spacing w:before="480"/>
        <w:ind w:right="16"/>
        <w:jc w:val="center"/>
        <w:rPr>
          <w:snapToGrid w:val="0"/>
          <w:color w:val="000000"/>
        </w:rPr>
      </w:pPr>
      <w:r>
        <w:rPr>
          <w:noProof/>
          <w:lang w:eastAsia="fr-BE"/>
        </w:rPr>
        <w:lastRenderedPageBreak/>
        <w:drawing>
          <wp:inline distT="0" distB="0" distL="0" distR="0" wp14:anchorId="0693BAC8" wp14:editId="0693BAC9">
            <wp:extent cx="4086225" cy="24479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86225" cy="2447925"/>
                    </a:xfrm>
                    <a:prstGeom prst="rect">
                      <a:avLst/>
                    </a:prstGeom>
                    <a:noFill/>
                    <a:ln>
                      <a:noFill/>
                    </a:ln>
                  </pic:spPr>
                </pic:pic>
              </a:graphicData>
            </a:graphic>
          </wp:inline>
        </w:drawing>
      </w:r>
    </w:p>
    <w:p w14:paraId="0693B4B9" w14:textId="77777777" w:rsidR="00CD340A" w:rsidRPr="0056383D" w:rsidRDefault="00CD340A" w:rsidP="00CD340A">
      <w:pPr>
        <w:spacing w:before="240"/>
        <w:ind w:right="16"/>
        <w:jc w:val="both"/>
        <w:rPr>
          <w:snapToGrid w:val="0"/>
          <w:color w:val="000000"/>
        </w:rPr>
      </w:pPr>
      <w:r w:rsidRPr="0056383D">
        <w:rPr>
          <w:snapToGrid w:val="0"/>
          <w:color w:val="000000"/>
        </w:rPr>
        <w:t>Dans certains cas, nous le verrons plus loin, il est possible de se passer des banquiers.</w:t>
      </w:r>
    </w:p>
    <w:p w14:paraId="0693B4BA" w14:textId="77777777" w:rsidR="00CD340A" w:rsidRPr="0056383D" w:rsidRDefault="00CD340A" w:rsidP="00CD340A">
      <w:pPr>
        <w:ind w:right="16"/>
        <w:jc w:val="both"/>
        <w:rPr>
          <w:snapToGrid w:val="0"/>
          <w:color w:val="000000"/>
        </w:rPr>
      </w:pPr>
      <w:r w:rsidRPr="0056383D">
        <w:rPr>
          <w:snapToGrid w:val="0"/>
          <w:color w:val="000000"/>
        </w:rPr>
        <w:t>C’est le cas, par exemple, quand les particuliers se prêtent de l’argent.</w:t>
      </w:r>
    </w:p>
    <w:p w14:paraId="0693B4BB" w14:textId="77A6A582" w:rsidR="00CD340A" w:rsidRDefault="00CD340A" w:rsidP="00CD340A">
      <w:pPr>
        <w:ind w:right="16"/>
        <w:jc w:val="both"/>
        <w:rPr>
          <w:snapToGrid w:val="0"/>
          <w:color w:val="000000"/>
        </w:rPr>
      </w:pPr>
      <w:r w:rsidRPr="0056383D">
        <w:rPr>
          <w:snapToGrid w:val="0"/>
          <w:color w:val="000000"/>
        </w:rPr>
        <w:t>Nous insistons également sur le caractère extrêmement schématique de ce dessin. Par exemple, nous y négligeons l’endettement financier de certains particuliers, ainsi que les échanges d’argent entre entreprises.</w:t>
      </w:r>
    </w:p>
    <w:p w14:paraId="0693B4BC" w14:textId="77777777" w:rsidR="00CD340A" w:rsidRPr="0056383D" w:rsidRDefault="00CD340A" w:rsidP="00CD340A">
      <w:pPr>
        <w:spacing w:before="240"/>
        <w:ind w:right="16"/>
        <w:jc w:val="both"/>
        <w:rPr>
          <w:snapToGrid w:val="0"/>
          <w:color w:val="000000"/>
        </w:rPr>
      </w:pPr>
      <w:r w:rsidRPr="0056383D">
        <w:rPr>
          <w:snapToGrid w:val="0"/>
          <w:color w:val="000000"/>
        </w:rPr>
        <w:t xml:space="preserve">Remarquons que nous utiliserons indifféremment les termes </w:t>
      </w:r>
      <w:r w:rsidRPr="0056383D">
        <w:rPr>
          <w:i/>
          <w:snapToGrid w:val="0"/>
          <w:color w:val="000000"/>
        </w:rPr>
        <w:t>Banques, Etablissements de Crédit</w:t>
      </w:r>
      <w:r w:rsidRPr="0056383D">
        <w:rPr>
          <w:snapToGrid w:val="0"/>
          <w:color w:val="000000"/>
        </w:rPr>
        <w:t xml:space="preserve"> et </w:t>
      </w:r>
      <w:r w:rsidRPr="0056383D">
        <w:rPr>
          <w:i/>
          <w:snapToGrid w:val="0"/>
          <w:color w:val="000000"/>
        </w:rPr>
        <w:t>Institutions Financières</w:t>
      </w:r>
      <w:r w:rsidRPr="0056383D">
        <w:rPr>
          <w:snapToGrid w:val="0"/>
          <w:color w:val="000000"/>
        </w:rPr>
        <w:t>.</w:t>
      </w:r>
    </w:p>
    <w:p w14:paraId="0693B4BD" w14:textId="77777777" w:rsidR="00CD340A" w:rsidRPr="0056383D" w:rsidRDefault="00CD340A" w:rsidP="00CD340A">
      <w:pPr>
        <w:ind w:right="16"/>
        <w:jc w:val="both"/>
        <w:rPr>
          <w:snapToGrid w:val="0"/>
          <w:color w:val="000000"/>
        </w:rPr>
      </w:pPr>
      <w:r w:rsidRPr="0056383D">
        <w:rPr>
          <w:snapToGrid w:val="0"/>
          <w:color w:val="000000"/>
        </w:rPr>
        <w:t xml:space="preserve">En fait les intervenants financiers, ou </w:t>
      </w:r>
      <w:r w:rsidRPr="0056383D">
        <w:rPr>
          <w:b/>
          <w:snapToGrid w:val="0"/>
          <w:color w:val="000000"/>
        </w:rPr>
        <w:t>Etablissements de Crédit</w:t>
      </w:r>
      <w:r w:rsidRPr="0056383D">
        <w:rPr>
          <w:snapToGrid w:val="0"/>
          <w:color w:val="000000"/>
        </w:rPr>
        <w:t xml:space="preserve">, regroupent les </w:t>
      </w:r>
      <w:r w:rsidRPr="0056383D">
        <w:rPr>
          <w:i/>
          <w:snapToGrid w:val="0"/>
          <w:color w:val="000000"/>
        </w:rPr>
        <w:t>banques</w:t>
      </w:r>
      <w:r w:rsidRPr="0056383D">
        <w:rPr>
          <w:snapToGrid w:val="0"/>
          <w:color w:val="000000"/>
        </w:rPr>
        <w:t xml:space="preserve"> proprement dites, appelées également </w:t>
      </w:r>
      <w:r w:rsidRPr="0056383D">
        <w:rPr>
          <w:i/>
          <w:snapToGrid w:val="0"/>
          <w:color w:val="000000"/>
        </w:rPr>
        <w:t>Banques de Dépôts</w:t>
      </w:r>
      <w:r w:rsidRPr="0056383D">
        <w:rPr>
          <w:snapToGrid w:val="0"/>
          <w:color w:val="000000"/>
        </w:rPr>
        <w:t xml:space="preserve">, </w:t>
      </w:r>
      <w:r w:rsidRPr="0056383D">
        <w:rPr>
          <w:i/>
          <w:snapToGrid w:val="0"/>
          <w:color w:val="000000"/>
        </w:rPr>
        <w:t>l’Office des Chèques Postaux</w:t>
      </w:r>
      <w:r w:rsidRPr="0056383D">
        <w:rPr>
          <w:snapToGrid w:val="0"/>
          <w:color w:val="000000"/>
        </w:rPr>
        <w:t xml:space="preserve"> (</w:t>
      </w:r>
      <w:r w:rsidRPr="0056383D">
        <w:rPr>
          <w:b/>
          <w:snapToGrid w:val="0"/>
          <w:color w:val="000000"/>
        </w:rPr>
        <w:t>OCP</w:t>
      </w:r>
      <w:r>
        <w:rPr>
          <w:b/>
          <w:snapToGrid w:val="0"/>
          <w:color w:val="000000"/>
        </w:rPr>
        <w:t xml:space="preserve">, </w:t>
      </w:r>
      <w:r>
        <w:rPr>
          <w:snapToGrid w:val="0"/>
          <w:color w:val="000000"/>
        </w:rPr>
        <w:t>devenu Banque de la Poste</w:t>
      </w:r>
      <w:r w:rsidR="0041495B" w:rsidRPr="0056383D">
        <w:rPr>
          <w:b/>
          <w:snapToGrid w:val="0"/>
          <w:color w:val="000000"/>
        </w:rPr>
        <w:fldChar w:fldCharType="begin"/>
      </w:r>
      <w:r w:rsidRPr="0056383D">
        <w:rPr>
          <w:b/>
          <w:snapToGrid w:val="0"/>
          <w:color w:val="000000"/>
        </w:rPr>
        <w:instrText xml:space="preserve"> XE "</w:instrText>
      </w:r>
      <w:r w:rsidRPr="0056383D">
        <w:instrText>OCP"</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les </w:t>
      </w:r>
      <w:r w:rsidRPr="0056383D">
        <w:rPr>
          <w:i/>
          <w:snapToGrid w:val="0"/>
          <w:color w:val="000000"/>
        </w:rPr>
        <w:t>Banques d’Epargne ou Caisses d’Epargne</w:t>
      </w:r>
      <w:r w:rsidRPr="0056383D">
        <w:rPr>
          <w:snapToGrid w:val="0"/>
          <w:color w:val="000000"/>
        </w:rPr>
        <w:t xml:space="preserve">, les </w:t>
      </w:r>
      <w:r w:rsidRPr="0056383D">
        <w:rPr>
          <w:i/>
          <w:snapToGrid w:val="0"/>
          <w:color w:val="000000"/>
        </w:rPr>
        <w:t>Etablissements Publics de Crédit</w:t>
      </w:r>
      <w:r w:rsidRPr="0056383D">
        <w:rPr>
          <w:snapToGrid w:val="0"/>
          <w:color w:val="000000"/>
        </w:rPr>
        <w:t xml:space="preserve"> (</w:t>
      </w:r>
      <w:r w:rsidRPr="0056383D">
        <w:rPr>
          <w:b/>
          <w:snapToGrid w:val="0"/>
          <w:color w:val="000000"/>
        </w:rPr>
        <w:t>EPC</w:t>
      </w:r>
      <w:r w:rsidR="0041495B" w:rsidRPr="0056383D">
        <w:rPr>
          <w:b/>
          <w:snapToGrid w:val="0"/>
          <w:color w:val="000000"/>
        </w:rPr>
        <w:fldChar w:fldCharType="begin"/>
      </w:r>
      <w:r w:rsidRPr="0056383D">
        <w:rPr>
          <w:b/>
          <w:snapToGrid w:val="0"/>
          <w:color w:val="000000"/>
        </w:rPr>
        <w:instrText xml:space="preserve"> XE "</w:instrText>
      </w:r>
      <w:r w:rsidRPr="0056383D">
        <w:instrText>EPC"</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les </w:t>
      </w:r>
      <w:r w:rsidRPr="0056383D">
        <w:rPr>
          <w:i/>
          <w:snapToGrid w:val="0"/>
          <w:color w:val="000000"/>
        </w:rPr>
        <w:t>Banques de Titres et les Caisses d’Epargne Communales</w:t>
      </w:r>
      <w:r w:rsidRPr="0056383D">
        <w:rPr>
          <w:snapToGrid w:val="0"/>
          <w:color w:val="000000"/>
        </w:rPr>
        <w:t>.</w:t>
      </w:r>
    </w:p>
    <w:p w14:paraId="0693B4BE" w14:textId="77777777" w:rsidR="00CD340A" w:rsidRPr="0056383D" w:rsidRDefault="00CD340A" w:rsidP="00CD340A">
      <w:pPr>
        <w:spacing w:before="240"/>
        <w:ind w:right="16"/>
        <w:jc w:val="both"/>
        <w:rPr>
          <w:snapToGrid w:val="0"/>
          <w:color w:val="000000"/>
        </w:rPr>
      </w:pPr>
      <w:r w:rsidRPr="0056383D">
        <w:rPr>
          <w:snapToGrid w:val="0"/>
          <w:color w:val="000000"/>
        </w:rPr>
        <w:t>Ces intervenants ont un triple rôle :</w:t>
      </w:r>
    </w:p>
    <w:p w14:paraId="0693B4BF" w14:textId="77777777" w:rsidR="00CD340A" w:rsidRPr="0056383D" w:rsidRDefault="00CD340A" w:rsidP="00C25C8C">
      <w:pPr>
        <w:numPr>
          <w:ilvl w:val="0"/>
          <w:numId w:val="19"/>
        </w:numPr>
        <w:rPr>
          <w:snapToGrid w:val="0"/>
          <w:color w:val="000000"/>
        </w:rPr>
      </w:pPr>
      <w:r w:rsidRPr="0056383D">
        <w:rPr>
          <w:snapToGrid w:val="0"/>
          <w:color w:val="000000"/>
        </w:rPr>
        <w:t xml:space="preserve">Vis-à-vis des agents en surplus financier (les ménages, certaines entreprises et certains pays étrangers), ils </w:t>
      </w:r>
      <w:r w:rsidRPr="0056383D">
        <w:rPr>
          <w:b/>
          <w:i/>
          <w:snapToGrid w:val="0"/>
          <w:color w:val="000000"/>
        </w:rPr>
        <w:t>rassemblent</w:t>
      </w:r>
      <w:r w:rsidRPr="0056383D">
        <w:rPr>
          <w:snapToGrid w:val="0"/>
          <w:color w:val="000000"/>
        </w:rPr>
        <w:t xml:space="preserve"> les épargnes, c’est le </w:t>
      </w:r>
      <w:r w:rsidRPr="0056383D">
        <w:rPr>
          <w:b/>
          <w:snapToGrid w:val="0"/>
          <w:color w:val="000000"/>
        </w:rPr>
        <w:t>marché des dépôts</w:t>
      </w:r>
      <w:r w:rsidRPr="0056383D">
        <w:rPr>
          <w:snapToGrid w:val="0"/>
        </w:rPr>
        <w:t xml:space="preserve"> (300 milliards d'euros au 6/1996)</w:t>
      </w:r>
      <w:r w:rsidRPr="0056383D">
        <w:rPr>
          <w:snapToGrid w:val="0"/>
          <w:color w:val="000000"/>
        </w:rPr>
        <w:t>.</w:t>
      </w:r>
    </w:p>
    <w:p w14:paraId="0693B4C0" w14:textId="77777777" w:rsidR="00CD340A" w:rsidRPr="0056383D" w:rsidRDefault="00CD340A" w:rsidP="00C25C8C">
      <w:pPr>
        <w:numPr>
          <w:ilvl w:val="0"/>
          <w:numId w:val="19"/>
        </w:numPr>
        <w:rPr>
          <w:snapToGrid w:val="0"/>
          <w:color w:val="000000"/>
        </w:rPr>
      </w:pPr>
      <w:r w:rsidRPr="0056383D">
        <w:rPr>
          <w:snapToGrid w:val="0"/>
          <w:color w:val="000000"/>
        </w:rPr>
        <w:t xml:space="preserve">Vis-à-vis des agents en déficit financier (les entreprises, l’Etat, beaucoup de pays étrangers et certains ménages), ils </w:t>
      </w:r>
      <w:r w:rsidRPr="0056383D">
        <w:rPr>
          <w:b/>
          <w:i/>
          <w:snapToGrid w:val="0"/>
          <w:color w:val="000000"/>
        </w:rPr>
        <w:t>canalisent</w:t>
      </w:r>
      <w:r w:rsidRPr="0056383D">
        <w:rPr>
          <w:snapToGrid w:val="0"/>
          <w:color w:val="000000"/>
        </w:rPr>
        <w:t xml:space="preserve"> l’argent vers les investisseurs, c’est le </w:t>
      </w:r>
      <w:r w:rsidRPr="0056383D">
        <w:rPr>
          <w:b/>
          <w:snapToGrid w:val="0"/>
          <w:color w:val="000000"/>
        </w:rPr>
        <w:t>marché du crédit</w:t>
      </w:r>
      <w:r w:rsidRPr="0056383D">
        <w:rPr>
          <w:snapToGrid w:val="0"/>
          <w:color w:val="000000"/>
        </w:rPr>
        <w:t xml:space="preserve"> </w:t>
      </w:r>
      <w:r w:rsidRPr="0056383D">
        <w:rPr>
          <w:snapToGrid w:val="0"/>
        </w:rPr>
        <w:t>(350 milliards d'euros au 6/1996)</w:t>
      </w:r>
      <w:r w:rsidRPr="0056383D">
        <w:rPr>
          <w:snapToGrid w:val="0"/>
          <w:color w:val="000000"/>
        </w:rPr>
        <w:t>.</w:t>
      </w:r>
    </w:p>
    <w:p w14:paraId="0693B4C1" w14:textId="77777777" w:rsidR="00CD340A" w:rsidRPr="0056383D" w:rsidRDefault="00CD340A" w:rsidP="00C25C8C">
      <w:pPr>
        <w:numPr>
          <w:ilvl w:val="0"/>
          <w:numId w:val="19"/>
        </w:numPr>
        <w:rPr>
          <w:snapToGrid w:val="0"/>
          <w:color w:val="000000"/>
        </w:rPr>
      </w:pPr>
      <w:r w:rsidRPr="0056383D">
        <w:rPr>
          <w:snapToGrid w:val="0"/>
          <w:color w:val="000000"/>
        </w:rPr>
        <w:t xml:space="preserve">Vis-à-vis de l’offre et de la demande, ils </w:t>
      </w:r>
      <w:r w:rsidRPr="0056383D">
        <w:rPr>
          <w:b/>
          <w:i/>
          <w:snapToGrid w:val="0"/>
          <w:color w:val="000000"/>
        </w:rPr>
        <w:t>régularisent</w:t>
      </w:r>
      <w:r w:rsidRPr="0056383D">
        <w:rPr>
          <w:snapToGrid w:val="0"/>
          <w:color w:val="000000"/>
        </w:rPr>
        <w:t xml:space="preserve"> les échanges financiers.</w:t>
      </w:r>
    </w:p>
    <w:p w14:paraId="0693B4C2" w14:textId="77777777" w:rsidR="00CD340A" w:rsidRPr="0056383D" w:rsidRDefault="00CD340A" w:rsidP="00CD340A">
      <w:pPr>
        <w:ind w:right="16"/>
        <w:jc w:val="both"/>
        <w:rPr>
          <w:snapToGrid w:val="0"/>
          <w:color w:val="000000"/>
        </w:rPr>
      </w:pPr>
    </w:p>
    <w:p w14:paraId="0693B4C3" w14:textId="77777777" w:rsidR="00CD340A" w:rsidRPr="0056383D" w:rsidRDefault="00CD340A" w:rsidP="00CD340A">
      <w:pPr>
        <w:ind w:right="16"/>
        <w:jc w:val="both"/>
        <w:rPr>
          <w:snapToGrid w:val="0"/>
          <w:color w:val="000000"/>
        </w:rPr>
      </w:pPr>
      <w:r w:rsidRPr="0056383D">
        <w:rPr>
          <w:snapToGrid w:val="0"/>
          <w:color w:val="000000"/>
        </w:rPr>
        <w:t xml:space="preserve">On parlera alors de </w:t>
      </w:r>
      <w:hyperlink r:id="rId78" w:history="1">
        <w:r w:rsidRPr="00A54B33">
          <w:rPr>
            <w:rStyle w:val="Lienhypertexte"/>
            <w:b/>
            <w:snapToGrid w:val="0"/>
            <w:sz w:val="36"/>
          </w:rPr>
          <w:t>Marché Monétaire</w:t>
        </w:r>
      </w:hyperlink>
      <w:r w:rsidRPr="0056383D">
        <w:rPr>
          <w:snapToGrid w:val="0"/>
          <w:color w:val="000000"/>
        </w:rPr>
        <w:t xml:space="preserve"> s’il s’agit d’argent à plutôt court terme. Ce marché regroupe le </w:t>
      </w:r>
      <w:r w:rsidRPr="0056383D">
        <w:rPr>
          <w:i/>
          <w:snapToGrid w:val="0"/>
          <w:color w:val="000000"/>
        </w:rPr>
        <w:t>marché des dépôts et le marché du crédit</w:t>
      </w:r>
      <w:r w:rsidRPr="0056383D">
        <w:rPr>
          <w:snapToGrid w:val="0"/>
          <w:color w:val="000000"/>
        </w:rPr>
        <w:t>. Il est orchestré par les institutions financières.</w:t>
      </w:r>
    </w:p>
    <w:p w14:paraId="0693B4C4" w14:textId="77777777" w:rsidR="00CD340A" w:rsidRPr="0056383D" w:rsidRDefault="00CD340A" w:rsidP="00CD340A">
      <w:pPr>
        <w:ind w:right="16"/>
        <w:jc w:val="both"/>
        <w:rPr>
          <w:snapToGrid w:val="0"/>
          <w:color w:val="000000"/>
        </w:rPr>
      </w:pPr>
      <w:r w:rsidRPr="0056383D">
        <w:rPr>
          <w:snapToGrid w:val="0"/>
          <w:color w:val="000000"/>
        </w:rPr>
        <w:t xml:space="preserve">On parlera aussi de </w:t>
      </w:r>
      <w:hyperlink r:id="rId79" w:history="1">
        <w:r w:rsidRPr="00A54B33">
          <w:rPr>
            <w:rStyle w:val="Lienhypertexte"/>
            <w:b/>
            <w:snapToGrid w:val="0"/>
            <w:sz w:val="36"/>
          </w:rPr>
          <w:t>Marché des Capitaux</w:t>
        </w:r>
      </w:hyperlink>
      <w:r w:rsidRPr="0056383D">
        <w:rPr>
          <w:snapToGrid w:val="0"/>
          <w:color w:val="000000"/>
        </w:rPr>
        <w:t xml:space="preserve"> (ou Marché Financier) s’il s’agit d’argent à plutôt long terme. Ce marché est aussi appelé le </w:t>
      </w:r>
      <w:r w:rsidRPr="0056383D">
        <w:rPr>
          <w:i/>
          <w:snapToGrid w:val="0"/>
          <w:color w:val="000000"/>
        </w:rPr>
        <w:t>marché des capitaux</w:t>
      </w:r>
      <w:r w:rsidRPr="0056383D">
        <w:rPr>
          <w:snapToGrid w:val="0"/>
          <w:color w:val="000000"/>
        </w:rPr>
        <w:t xml:space="preserve">. Il est orchestré par la </w:t>
      </w:r>
      <w:r w:rsidRPr="0056383D">
        <w:rPr>
          <w:b/>
          <w:snapToGrid w:val="0"/>
          <w:color w:val="000000"/>
        </w:rPr>
        <w:t>bourse</w:t>
      </w:r>
      <w:r w:rsidRPr="0056383D">
        <w:rPr>
          <w:snapToGrid w:val="0"/>
          <w:color w:val="000000"/>
        </w:rPr>
        <w:t>.</w:t>
      </w:r>
    </w:p>
    <w:p w14:paraId="0693B4C5" w14:textId="77777777" w:rsidR="00CD340A" w:rsidRPr="0056383D" w:rsidRDefault="00CD340A" w:rsidP="00CD340A">
      <w:pPr>
        <w:spacing w:before="240"/>
        <w:ind w:right="16"/>
        <w:jc w:val="both"/>
        <w:rPr>
          <w:snapToGrid w:val="0"/>
          <w:color w:val="000000"/>
        </w:rPr>
      </w:pPr>
      <w:r w:rsidRPr="0056383D">
        <w:rPr>
          <w:snapToGrid w:val="0"/>
          <w:color w:val="000000"/>
        </w:rPr>
        <w:t>En plus de cette fonction principale, les institutions financières ont un rôle central croissant dans le mouvement des paiements (Cf. chèques, virements, cartes de crédit, etc.)</w:t>
      </w:r>
    </w:p>
    <w:p w14:paraId="0693B4C6" w14:textId="77777777" w:rsidR="00CD340A" w:rsidRPr="0056383D" w:rsidRDefault="00CD340A" w:rsidP="00CD340A">
      <w:pPr>
        <w:spacing w:before="240"/>
        <w:ind w:right="16"/>
        <w:jc w:val="center"/>
        <w:rPr>
          <w:snapToGrid w:val="0"/>
          <w:color w:val="000000"/>
        </w:rPr>
      </w:pPr>
    </w:p>
    <w:p w14:paraId="0693B4C7" w14:textId="77777777" w:rsidR="00CD340A" w:rsidRPr="0056383D" w:rsidRDefault="00CD340A" w:rsidP="00CD340A">
      <w:pPr>
        <w:spacing w:before="240"/>
        <w:ind w:right="16"/>
        <w:jc w:val="both"/>
        <w:rPr>
          <w:snapToGrid w:val="0"/>
          <w:color w:val="000000"/>
        </w:rPr>
      </w:pPr>
      <w:r w:rsidRPr="0056383D">
        <w:rPr>
          <w:snapToGrid w:val="0"/>
          <w:color w:val="000000"/>
        </w:rPr>
        <w:t>Revenons un instant sur le schéma de principe des flux macro-économiques. Nous y avons dit que nous ne tenions pas compte, entre autre, de la dette extérieure du pays. C’est l’occasion de fixer les idées sur quelques notions importantes de vocabulaire économique :</w:t>
      </w:r>
    </w:p>
    <w:p w14:paraId="0693B4C8" w14:textId="77777777" w:rsidR="00CD340A" w:rsidRPr="0056383D" w:rsidRDefault="00CD340A" w:rsidP="00CD340A">
      <w:pPr>
        <w:ind w:right="16"/>
        <w:jc w:val="both"/>
        <w:rPr>
          <w:snapToGrid w:val="0"/>
          <w:color w:val="000000"/>
        </w:rPr>
      </w:pPr>
    </w:p>
    <w:p w14:paraId="0693B4C9" w14:textId="77777777" w:rsidR="00CD340A" w:rsidRPr="0056383D" w:rsidRDefault="00CD340A" w:rsidP="00CD340A">
      <w:pPr>
        <w:ind w:right="16"/>
        <w:jc w:val="both"/>
        <w:rPr>
          <w:snapToGrid w:val="0"/>
          <w:color w:val="000000"/>
        </w:rPr>
      </w:pPr>
      <w:r w:rsidRPr="0056383D">
        <w:rPr>
          <w:snapToGrid w:val="0"/>
          <w:color w:val="000000"/>
        </w:rPr>
        <w:t xml:space="preserve">La </w:t>
      </w:r>
      <w:r w:rsidRPr="0056383D">
        <w:rPr>
          <w:b/>
          <w:snapToGrid w:val="0"/>
          <w:color w:val="000000"/>
        </w:rPr>
        <w:t>balance</w:t>
      </w:r>
      <w:r w:rsidR="0041495B" w:rsidRPr="0056383D">
        <w:rPr>
          <w:b/>
          <w:snapToGrid w:val="0"/>
          <w:color w:val="000000"/>
        </w:rPr>
        <w:fldChar w:fldCharType="begin"/>
      </w:r>
      <w:r w:rsidRPr="0056383D">
        <w:rPr>
          <w:b/>
          <w:snapToGrid w:val="0"/>
          <w:color w:val="000000"/>
        </w:rPr>
        <w:instrText xml:space="preserve"> XE "</w:instrText>
      </w:r>
      <w:r w:rsidRPr="0056383D">
        <w:instrText>balance"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des paiements</w:t>
      </w:r>
      <w:r w:rsidRPr="0056383D">
        <w:rPr>
          <w:snapToGrid w:val="0"/>
          <w:color w:val="000000"/>
        </w:rPr>
        <w:t xml:space="preserve"> est la somme de la </w:t>
      </w:r>
      <w:r w:rsidRPr="0056383D">
        <w:rPr>
          <w:i/>
          <w:snapToGrid w:val="0"/>
          <w:color w:val="000000"/>
        </w:rPr>
        <w:t>balance des transactions courantes, de la balance des capitaux, et de la balance des transactions unilatérales.</w:t>
      </w:r>
    </w:p>
    <w:p w14:paraId="0693B4CA" w14:textId="77777777" w:rsidR="00CD340A" w:rsidRPr="0056383D" w:rsidRDefault="00CD340A" w:rsidP="00C25C8C">
      <w:pPr>
        <w:numPr>
          <w:ilvl w:val="0"/>
          <w:numId w:val="20"/>
        </w:numPr>
        <w:spacing w:before="240"/>
        <w:jc w:val="both"/>
        <w:rPr>
          <w:snapToGrid w:val="0"/>
          <w:color w:val="000000"/>
        </w:rPr>
      </w:pPr>
      <w:r w:rsidRPr="0056383D">
        <w:rPr>
          <w:snapToGrid w:val="0"/>
          <w:color w:val="000000"/>
        </w:rPr>
        <w:lastRenderedPageBreak/>
        <w:t xml:space="preserve">La </w:t>
      </w:r>
      <w:r w:rsidRPr="0056383D">
        <w:rPr>
          <w:b/>
          <w:snapToGrid w:val="0"/>
          <w:color w:val="000000"/>
        </w:rPr>
        <w:t>balance</w:t>
      </w:r>
      <w:r w:rsidR="0041495B" w:rsidRPr="0056383D">
        <w:rPr>
          <w:b/>
          <w:snapToGrid w:val="0"/>
          <w:color w:val="000000"/>
        </w:rPr>
        <w:fldChar w:fldCharType="begin"/>
      </w:r>
      <w:r w:rsidRPr="0056383D">
        <w:rPr>
          <w:b/>
          <w:snapToGrid w:val="0"/>
          <w:color w:val="000000"/>
        </w:rPr>
        <w:instrText xml:space="preserve"> XE "</w:instrText>
      </w:r>
      <w:r w:rsidRPr="0056383D">
        <w:instrText>balance"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des transactions courantes</w:t>
      </w:r>
      <w:r w:rsidRPr="0056383D">
        <w:rPr>
          <w:snapToGrid w:val="0"/>
          <w:color w:val="000000"/>
        </w:rPr>
        <w:t xml:space="preserve"> est constituée  de :</w:t>
      </w:r>
    </w:p>
    <w:p w14:paraId="0693B4CB" w14:textId="77777777" w:rsidR="00CD340A" w:rsidRPr="0056383D" w:rsidRDefault="00CD340A" w:rsidP="00C25C8C">
      <w:pPr>
        <w:numPr>
          <w:ilvl w:val="1"/>
          <w:numId w:val="20"/>
        </w:numPr>
        <w:tabs>
          <w:tab w:val="clear" w:pos="1440"/>
          <w:tab w:val="num" w:pos="851"/>
        </w:tabs>
        <w:spacing w:before="240"/>
        <w:ind w:left="851" w:hanging="425"/>
        <w:jc w:val="both"/>
        <w:rPr>
          <w:snapToGrid w:val="0"/>
          <w:color w:val="000000"/>
        </w:rPr>
      </w:pPr>
      <w:r w:rsidRPr="0056383D">
        <w:rPr>
          <w:snapToGrid w:val="0"/>
          <w:color w:val="000000"/>
        </w:rPr>
        <w:t xml:space="preserve">la </w:t>
      </w:r>
      <w:r w:rsidRPr="0056383D">
        <w:rPr>
          <w:i/>
          <w:snapToGrid w:val="0"/>
          <w:color w:val="000000"/>
        </w:rPr>
        <w:t>balance</w:t>
      </w:r>
      <w:r w:rsidR="0041495B" w:rsidRPr="0056383D">
        <w:rPr>
          <w:i/>
          <w:snapToGrid w:val="0"/>
          <w:color w:val="000000"/>
        </w:rPr>
        <w:fldChar w:fldCharType="begin"/>
      </w:r>
      <w:r w:rsidRPr="0056383D">
        <w:rPr>
          <w:i/>
          <w:snapToGrid w:val="0"/>
          <w:color w:val="000000"/>
        </w:rPr>
        <w:instrText xml:space="preserve"> XE "</w:instrText>
      </w:r>
      <w:r w:rsidRPr="0056383D">
        <w:instrText>balance"</w:instrText>
      </w:r>
      <w:r w:rsidRPr="0056383D">
        <w:rPr>
          <w:i/>
          <w:snapToGrid w:val="0"/>
          <w:color w:val="000000"/>
        </w:rPr>
        <w:instrText xml:space="preserve"> </w:instrText>
      </w:r>
      <w:r w:rsidR="0041495B" w:rsidRPr="0056383D">
        <w:rPr>
          <w:i/>
          <w:snapToGrid w:val="0"/>
          <w:color w:val="000000"/>
        </w:rPr>
        <w:fldChar w:fldCharType="end"/>
      </w:r>
      <w:r w:rsidRPr="0056383D">
        <w:rPr>
          <w:i/>
          <w:snapToGrid w:val="0"/>
          <w:color w:val="000000"/>
        </w:rPr>
        <w:t xml:space="preserve"> commerciale</w:t>
      </w:r>
      <w:r w:rsidRPr="0056383D">
        <w:rPr>
          <w:snapToGrid w:val="0"/>
          <w:color w:val="000000"/>
        </w:rPr>
        <w:t xml:space="preserve">, c’est-à-dire de la différence entre les exportations et les importations de biens (+/- 7 milliards), à laquelle il faut ajouter </w:t>
      </w:r>
    </w:p>
    <w:p w14:paraId="0693B4CC" w14:textId="77777777" w:rsidR="00CD340A" w:rsidRPr="0056383D" w:rsidRDefault="00CD340A" w:rsidP="00C25C8C">
      <w:pPr>
        <w:numPr>
          <w:ilvl w:val="1"/>
          <w:numId w:val="20"/>
        </w:numPr>
        <w:tabs>
          <w:tab w:val="clear" w:pos="1440"/>
          <w:tab w:val="num" w:pos="851"/>
        </w:tabs>
        <w:spacing w:before="240"/>
        <w:ind w:left="851" w:hanging="425"/>
        <w:jc w:val="both"/>
        <w:rPr>
          <w:snapToGrid w:val="0"/>
          <w:color w:val="000000"/>
        </w:rPr>
      </w:pPr>
      <w:r w:rsidRPr="0056383D">
        <w:rPr>
          <w:snapToGrid w:val="0"/>
          <w:color w:val="000000"/>
        </w:rPr>
        <w:t xml:space="preserve">la </w:t>
      </w:r>
      <w:r w:rsidRPr="0056383D">
        <w:rPr>
          <w:i/>
          <w:snapToGrid w:val="0"/>
          <w:color w:val="000000"/>
        </w:rPr>
        <w:t>balance</w:t>
      </w:r>
      <w:r w:rsidR="0041495B" w:rsidRPr="0056383D">
        <w:rPr>
          <w:i/>
          <w:snapToGrid w:val="0"/>
          <w:color w:val="000000"/>
        </w:rPr>
        <w:fldChar w:fldCharType="begin"/>
      </w:r>
      <w:r w:rsidRPr="0056383D">
        <w:rPr>
          <w:i/>
          <w:snapToGrid w:val="0"/>
          <w:color w:val="000000"/>
        </w:rPr>
        <w:instrText xml:space="preserve"> XE "</w:instrText>
      </w:r>
      <w:r w:rsidRPr="0056383D">
        <w:instrText>balance"</w:instrText>
      </w:r>
      <w:r w:rsidRPr="0056383D">
        <w:rPr>
          <w:i/>
          <w:snapToGrid w:val="0"/>
          <w:color w:val="000000"/>
        </w:rPr>
        <w:instrText xml:space="preserve"> </w:instrText>
      </w:r>
      <w:r w:rsidR="0041495B" w:rsidRPr="0056383D">
        <w:rPr>
          <w:i/>
          <w:snapToGrid w:val="0"/>
          <w:color w:val="000000"/>
        </w:rPr>
        <w:fldChar w:fldCharType="end"/>
      </w:r>
      <w:r w:rsidRPr="0056383D">
        <w:rPr>
          <w:i/>
          <w:snapToGrid w:val="0"/>
          <w:color w:val="000000"/>
        </w:rPr>
        <w:t xml:space="preserve"> des services</w:t>
      </w:r>
      <w:r w:rsidRPr="0056383D">
        <w:rPr>
          <w:snapToGrid w:val="0"/>
          <w:color w:val="000000"/>
        </w:rPr>
        <w:t>, c’est-à-dire la différence entre les exportations et les importations de services.</w:t>
      </w:r>
    </w:p>
    <w:p w14:paraId="0693B4CD" w14:textId="77777777" w:rsidR="00CD340A" w:rsidRPr="0056383D" w:rsidRDefault="00CD340A" w:rsidP="00C25C8C">
      <w:pPr>
        <w:numPr>
          <w:ilvl w:val="0"/>
          <w:numId w:val="20"/>
        </w:numPr>
        <w:spacing w:before="240"/>
        <w:jc w:val="both"/>
        <w:rPr>
          <w:snapToGrid w:val="0"/>
          <w:color w:val="000000"/>
        </w:rPr>
      </w:pPr>
      <w:r w:rsidRPr="0056383D">
        <w:rPr>
          <w:snapToGrid w:val="0"/>
          <w:color w:val="000000"/>
        </w:rPr>
        <w:t xml:space="preserve">La </w:t>
      </w:r>
      <w:r w:rsidRPr="0056383D">
        <w:rPr>
          <w:b/>
          <w:snapToGrid w:val="0"/>
          <w:color w:val="000000"/>
        </w:rPr>
        <w:t>balance</w:t>
      </w:r>
      <w:r w:rsidR="0041495B" w:rsidRPr="0056383D">
        <w:rPr>
          <w:b/>
          <w:snapToGrid w:val="0"/>
          <w:color w:val="000000"/>
        </w:rPr>
        <w:fldChar w:fldCharType="begin"/>
      </w:r>
      <w:r w:rsidRPr="0056383D">
        <w:rPr>
          <w:b/>
          <w:snapToGrid w:val="0"/>
          <w:color w:val="000000"/>
        </w:rPr>
        <w:instrText xml:space="preserve"> XE "</w:instrText>
      </w:r>
      <w:r w:rsidRPr="0056383D">
        <w:instrText>balance"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des capitaux</w:t>
      </w:r>
      <w:r w:rsidRPr="0056383D">
        <w:rPr>
          <w:snapToGrid w:val="0"/>
          <w:color w:val="000000"/>
        </w:rPr>
        <w:t xml:space="preserve"> est la différence entre les capitaux représentés par les sociétés belges réparties dans le monde et tous les capitaux des entreprises étrangères situées en Belgique. Par exemple l’entreprise Solvay représente à elle seule quelques 47 milliards de francs rien que dans la CEI. (Ce chiffre est donc à affecter d’un signe positif dans le calcul du bilan, puisqu’il s’agit d’une entreprise belge implantée à l'étranger.)</w:t>
      </w:r>
    </w:p>
    <w:p w14:paraId="0693B4CE" w14:textId="77777777" w:rsidR="00CD340A" w:rsidRPr="0056383D" w:rsidRDefault="00CD340A" w:rsidP="00C25C8C">
      <w:pPr>
        <w:numPr>
          <w:ilvl w:val="0"/>
          <w:numId w:val="20"/>
        </w:numPr>
        <w:spacing w:before="240"/>
        <w:jc w:val="both"/>
        <w:rPr>
          <w:snapToGrid w:val="0"/>
          <w:color w:val="000000"/>
        </w:rPr>
      </w:pPr>
      <w:r w:rsidRPr="0056383D">
        <w:rPr>
          <w:snapToGrid w:val="0"/>
          <w:color w:val="000000"/>
        </w:rPr>
        <w:t xml:space="preserve">Enfin, la </w:t>
      </w:r>
      <w:r w:rsidRPr="0056383D">
        <w:rPr>
          <w:b/>
          <w:snapToGrid w:val="0"/>
          <w:color w:val="000000"/>
        </w:rPr>
        <w:t>balance</w:t>
      </w:r>
      <w:r w:rsidR="0041495B" w:rsidRPr="0056383D">
        <w:rPr>
          <w:b/>
          <w:snapToGrid w:val="0"/>
          <w:color w:val="000000"/>
        </w:rPr>
        <w:fldChar w:fldCharType="begin"/>
      </w:r>
      <w:r w:rsidRPr="0056383D">
        <w:rPr>
          <w:b/>
          <w:snapToGrid w:val="0"/>
          <w:color w:val="000000"/>
        </w:rPr>
        <w:instrText xml:space="preserve"> XE "</w:instrText>
      </w:r>
      <w:r w:rsidRPr="0056383D">
        <w:instrText>balance"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des transactions unilatérales</w:t>
      </w:r>
      <w:r w:rsidRPr="0056383D">
        <w:rPr>
          <w:snapToGrid w:val="0"/>
          <w:color w:val="000000"/>
        </w:rPr>
        <w:t xml:space="preserve"> représente tous les paiements à l'étranger que fait la Belgique de manière unilatérale, c’est-à-dire en sens unique, sans compensation </w:t>
      </w:r>
      <w:r w:rsidRPr="0056383D">
        <w:rPr>
          <w:i/>
          <w:snapToGrid w:val="0"/>
          <w:color w:val="000000"/>
        </w:rPr>
        <w:t>financière</w:t>
      </w:r>
      <w:r w:rsidRPr="0056383D">
        <w:rPr>
          <w:snapToGrid w:val="0"/>
          <w:color w:val="000000"/>
        </w:rPr>
        <w:t xml:space="preserve"> en retour. Il s’agit, par exemple, des paiements que nous effectuons à l’ONU, à la CE, etc.</w:t>
      </w:r>
      <w:r w:rsidR="00E77F9F">
        <w:rPr>
          <w:snapToGrid w:val="0"/>
          <w:color w:val="000000"/>
        </w:rPr>
        <w:t xml:space="preserve"> Ces transactions peuvent parfois être positives : la Belgique reçoit de temps en temps des subsides européens, par exemple.</w:t>
      </w:r>
    </w:p>
    <w:p w14:paraId="0693B4CF" w14:textId="77777777" w:rsidR="00CD340A" w:rsidRPr="0056383D" w:rsidRDefault="00CD340A" w:rsidP="00CD340A">
      <w:pPr>
        <w:spacing w:before="240"/>
        <w:ind w:right="16"/>
        <w:jc w:val="both"/>
        <w:rPr>
          <w:snapToGrid w:val="0"/>
          <w:color w:val="000000"/>
        </w:rPr>
      </w:pPr>
      <w:r w:rsidRPr="0056383D">
        <w:rPr>
          <w:snapToGrid w:val="0"/>
          <w:color w:val="000000"/>
        </w:rPr>
        <w:t>La somme de ces trois balances produit donc la balance</w:t>
      </w:r>
      <w:r w:rsidR="0041495B" w:rsidRPr="0056383D">
        <w:rPr>
          <w:snapToGrid w:val="0"/>
          <w:color w:val="000000"/>
        </w:rPr>
        <w:fldChar w:fldCharType="begin"/>
      </w:r>
      <w:r w:rsidRPr="0056383D">
        <w:rPr>
          <w:snapToGrid w:val="0"/>
          <w:color w:val="000000"/>
        </w:rPr>
        <w:instrText xml:space="preserve"> XE "</w:instrText>
      </w:r>
      <w:r w:rsidRPr="0056383D">
        <w:instrText>balance"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des paiements (ou </w:t>
      </w:r>
      <w:r w:rsidRPr="0056383D">
        <w:rPr>
          <w:b/>
          <w:snapToGrid w:val="0"/>
          <w:color w:val="000000"/>
        </w:rPr>
        <w:t>Équilibre Extérieur</w:t>
      </w:r>
      <w:r w:rsidRPr="00EB47DE">
        <w:rPr>
          <w:snapToGrid w:val="0"/>
          <w:position w:val="6"/>
          <w:sz w:val="16"/>
        </w:rPr>
        <w:footnoteReference w:id="13"/>
      </w:r>
      <w:r w:rsidRPr="0056383D">
        <w:rPr>
          <w:snapToGrid w:val="0"/>
          <w:color w:val="000000"/>
        </w:rPr>
        <w:t xml:space="preserve">). Celle-ci peut être positive, auquel cas c’est l'étranger qui est redevable à la Belgique. Dans le cas contraire, nous sommes en dette vis-à-vis de l'étranger. L’on parle alors de </w:t>
      </w:r>
      <w:r w:rsidRPr="0056383D">
        <w:rPr>
          <w:b/>
          <w:snapToGrid w:val="0"/>
          <w:color w:val="000000"/>
        </w:rPr>
        <w:t>Dette Extérieure</w:t>
      </w:r>
      <w:r>
        <w:rPr>
          <w:b/>
          <w:snapToGrid w:val="0"/>
          <w:color w:val="000000"/>
        </w:rPr>
        <w:t xml:space="preserve"> </w:t>
      </w:r>
      <w:r w:rsidRPr="00DD3E93">
        <w:rPr>
          <w:snapToGrid w:val="0"/>
          <w:color w:val="000000"/>
        </w:rPr>
        <w:t>(quoique cette dernière appellation concerne la balance commerciale)</w:t>
      </w:r>
      <w:r w:rsidRPr="0056383D">
        <w:rPr>
          <w:snapToGrid w:val="0"/>
          <w:color w:val="000000"/>
        </w:rPr>
        <w:t>.</w:t>
      </w:r>
    </w:p>
    <w:p w14:paraId="0693B4D0" w14:textId="77777777" w:rsidR="00CD340A" w:rsidRPr="0056383D" w:rsidRDefault="00CD340A" w:rsidP="00CD340A">
      <w:pPr>
        <w:spacing w:before="480"/>
        <w:ind w:right="17"/>
        <w:jc w:val="both"/>
        <w:rPr>
          <w:snapToGrid w:val="0"/>
          <w:color w:val="000000"/>
        </w:rPr>
      </w:pPr>
      <w:r w:rsidRPr="0056383D">
        <w:rPr>
          <w:snapToGrid w:val="0"/>
          <w:color w:val="000000"/>
        </w:rPr>
        <w:t xml:space="preserve">Nous ne reviendrons pas ici sur les différentes théories macro-économiques qui tentent d’expliquer les phénomènes économiques entre les différents pays du monde. Mais il importe de savoir que la théorie </w:t>
      </w:r>
      <w:r w:rsidRPr="0056383D">
        <w:rPr>
          <w:i/>
          <w:snapToGrid w:val="0"/>
          <w:color w:val="000000"/>
        </w:rPr>
        <w:t>à la mode</w:t>
      </w:r>
      <w:r w:rsidRPr="0056383D">
        <w:rPr>
          <w:snapToGrid w:val="0"/>
          <w:color w:val="000000"/>
        </w:rPr>
        <w:t xml:space="preserve"> aujourd’hui est le </w:t>
      </w:r>
      <w:hyperlink r:id="rId80" w:history="1">
        <w:r w:rsidRPr="00A54B33">
          <w:rPr>
            <w:rStyle w:val="Lienhypertexte"/>
            <w:b/>
            <w:snapToGrid w:val="0"/>
          </w:rPr>
          <w:t>Monétarisme</w:t>
        </w:r>
      </w:hyperlink>
      <w:r w:rsidR="0041495B" w:rsidRPr="0056383D">
        <w:rPr>
          <w:b/>
          <w:snapToGrid w:val="0"/>
          <w:color w:val="000000"/>
        </w:rPr>
        <w:fldChar w:fldCharType="begin"/>
      </w:r>
      <w:r w:rsidRPr="0056383D">
        <w:rPr>
          <w:b/>
          <w:snapToGrid w:val="0"/>
          <w:color w:val="000000"/>
        </w:rPr>
        <w:instrText xml:space="preserve"> XE "</w:instrText>
      </w:r>
      <w:r w:rsidRPr="0056383D">
        <w:instrText>Monétarisme"</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Avant, il y avait Keynes, maintenant, il y a </w:t>
      </w:r>
      <w:hyperlink r:id="rId81" w:history="1">
        <w:r w:rsidRPr="00A54B33">
          <w:rPr>
            <w:rStyle w:val="Lienhypertexte"/>
            <w:snapToGrid w:val="0"/>
          </w:rPr>
          <w:t>Milton Friedman</w:t>
        </w:r>
      </w:hyperlink>
      <w:r w:rsidRPr="0056383D">
        <w:rPr>
          <w:snapToGrid w:val="0"/>
          <w:color w:val="000000"/>
        </w:rPr>
        <w:t>, père du Monétarisme.</w:t>
      </w:r>
    </w:p>
    <w:p w14:paraId="0693B4D1" w14:textId="77777777" w:rsidR="00CD340A" w:rsidRPr="0056383D" w:rsidRDefault="00CD340A" w:rsidP="00CD340A">
      <w:pPr>
        <w:ind w:right="16"/>
        <w:jc w:val="both"/>
        <w:rPr>
          <w:snapToGrid w:val="0"/>
          <w:color w:val="000000"/>
        </w:rPr>
      </w:pPr>
      <w:r w:rsidRPr="0056383D">
        <w:rPr>
          <w:snapToGrid w:val="0"/>
          <w:color w:val="000000"/>
        </w:rPr>
        <w:t xml:space="preserve">En résumé, la théorie monétariste stipule que la manière la plus performante, aujourd’hui, d’agir sur l’économie  d’un pays ou d’un secteur économique, est de manipuler sur les marchés de fortes quantités de monnaie, soit à l’achat, soit à la vente. </w:t>
      </w:r>
    </w:p>
    <w:p w14:paraId="0693B4D2" w14:textId="77777777" w:rsidR="00CD340A" w:rsidRPr="0056383D" w:rsidRDefault="00CD340A" w:rsidP="00CD340A">
      <w:pPr>
        <w:ind w:right="16"/>
        <w:jc w:val="both"/>
        <w:rPr>
          <w:snapToGrid w:val="0"/>
          <w:color w:val="000000"/>
        </w:rPr>
      </w:pPr>
      <w:r w:rsidRPr="0056383D">
        <w:rPr>
          <w:snapToGrid w:val="0"/>
          <w:color w:val="000000"/>
        </w:rPr>
        <w:t>Par exemple, si l’ensemble du monde industrialisé estime qu’il faut empêcher, ne fût-ce que momentanément (quelques jours à quelques semaines) les taux d’intérêts US de baisser, les différents pays du monde vont s’arranger (du moins les plus importants d’entre eux) pour acheter du dollar, de manière à faire monter artificiellement la demande sur ce marché. Par le jeu de l’offre et de la demande, les</w:t>
      </w:r>
      <w:r w:rsidRPr="00EB47DE">
        <w:rPr>
          <w:snapToGrid w:val="0"/>
          <w:position w:val="6"/>
          <w:sz w:val="16"/>
        </w:rPr>
        <w:footnoteReference w:id="14"/>
      </w:r>
      <w:r w:rsidRPr="0056383D">
        <w:rPr>
          <w:snapToGrid w:val="0"/>
          <w:color w:val="000000"/>
        </w:rPr>
        <w:t xml:space="preserve"> prix du dollar (c’est-à-dire ses taux d’intérêt) vont augmenter. Comme nous avons supposé qu’ils allaient baisser, il en résultera (si les achats des différents pays se sont effectués correctement) que les taux ne bougeront pas, ce qui était le but souhaité.</w:t>
      </w:r>
    </w:p>
    <w:p w14:paraId="0693B4D3" w14:textId="77777777" w:rsidR="00CD340A" w:rsidRPr="0056383D" w:rsidRDefault="00CD340A" w:rsidP="00CD340A">
      <w:pPr>
        <w:ind w:right="16"/>
        <w:jc w:val="both"/>
        <w:rPr>
          <w:snapToGrid w:val="0"/>
          <w:color w:val="000000"/>
        </w:rPr>
      </w:pPr>
      <w:r w:rsidRPr="0056383D">
        <w:rPr>
          <w:snapToGrid w:val="0"/>
          <w:color w:val="000000"/>
        </w:rPr>
        <w:t>Un des défenseurs Européens du Monétarisme</w:t>
      </w:r>
      <w:r w:rsidR="0041495B" w:rsidRPr="0056383D">
        <w:rPr>
          <w:snapToGrid w:val="0"/>
          <w:color w:val="000000"/>
        </w:rPr>
        <w:fldChar w:fldCharType="begin"/>
      </w:r>
      <w:r w:rsidRPr="0056383D">
        <w:rPr>
          <w:snapToGrid w:val="0"/>
          <w:color w:val="000000"/>
        </w:rPr>
        <w:instrText xml:space="preserve"> XE "</w:instrText>
      </w:r>
      <w:r w:rsidRPr="0056383D">
        <w:instrText>Monétarisme"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est le Français </w:t>
      </w:r>
      <w:hyperlink r:id="rId82" w:history="1">
        <w:r w:rsidRPr="00A54B33">
          <w:rPr>
            <w:rStyle w:val="Lienhypertexte"/>
            <w:snapToGrid w:val="0"/>
          </w:rPr>
          <w:t>Raymond Barre</w:t>
        </w:r>
      </w:hyperlink>
      <w:r w:rsidRPr="0056383D">
        <w:rPr>
          <w:snapToGrid w:val="0"/>
          <w:color w:val="000000"/>
        </w:rPr>
        <w:t>.</w:t>
      </w:r>
    </w:p>
    <w:p w14:paraId="0693B4D4" w14:textId="77777777" w:rsidR="00CD340A" w:rsidRPr="0056383D" w:rsidRDefault="00CD340A" w:rsidP="00CD340A">
      <w:pPr>
        <w:ind w:right="16"/>
        <w:jc w:val="both"/>
        <w:rPr>
          <w:snapToGrid w:val="0"/>
          <w:color w:val="000000"/>
        </w:rPr>
      </w:pPr>
    </w:p>
    <w:p w14:paraId="0693B4D5" w14:textId="77777777" w:rsidR="00CD340A" w:rsidRPr="0056383D" w:rsidRDefault="00CD340A" w:rsidP="00CD340A">
      <w:pPr>
        <w:ind w:right="16"/>
        <w:jc w:val="both"/>
        <w:rPr>
          <w:snapToGrid w:val="0"/>
          <w:color w:val="000000"/>
        </w:rPr>
      </w:pPr>
      <w:r w:rsidRPr="0056383D">
        <w:rPr>
          <w:b/>
          <w:snapToGrid w:val="0"/>
          <w:color w:val="000000"/>
        </w:rPr>
        <w:t>REMARQUE</w:t>
      </w:r>
      <w:r w:rsidRPr="0056383D">
        <w:rPr>
          <w:snapToGrid w:val="0"/>
          <w:color w:val="000000"/>
        </w:rPr>
        <w:t> : Le Monétarisme</w:t>
      </w:r>
      <w:r w:rsidR="0041495B" w:rsidRPr="0056383D">
        <w:rPr>
          <w:snapToGrid w:val="0"/>
          <w:color w:val="000000"/>
        </w:rPr>
        <w:fldChar w:fldCharType="begin"/>
      </w:r>
      <w:r w:rsidRPr="0056383D">
        <w:rPr>
          <w:snapToGrid w:val="0"/>
          <w:color w:val="000000"/>
        </w:rPr>
        <w:instrText xml:space="preserve"> XE "</w:instrText>
      </w:r>
      <w:r w:rsidRPr="0056383D">
        <w:instrText>Monétarisme"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semble en perte de vitesse ces dernières années, au profit de nouvelles théories, dont le </w:t>
      </w:r>
      <w:hyperlink r:id="rId83" w:history="1">
        <w:r w:rsidRPr="00A54B33">
          <w:rPr>
            <w:rStyle w:val="Lienhypertexte"/>
            <w:i/>
            <w:snapToGrid w:val="0"/>
          </w:rPr>
          <w:t>Néo-Keynésianisme</w:t>
        </w:r>
      </w:hyperlink>
      <w:r w:rsidRPr="0056383D">
        <w:rPr>
          <w:snapToGrid w:val="0"/>
          <w:color w:val="000000"/>
        </w:rPr>
        <w:t xml:space="preserve"> et la </w:t>
      </w:r>
      <w:hyperlink r:id="rId84" w:history="1">
        <w:r w:rsidRPr="00A54B33">
          <w:rPr>
            <w:rStyle w:val="Lienhypertexte"/>
            <w:i/>
            <w:snapToGrid w:val="0"/>
          </w:rPr>
          <w:t>Théorie du Chaos</w:t>
        </w:r>
      </w:hyperlink>
      <w:r>
        <w:rPr>
          <w:i/>
          <w:snapToGrid w:val="0"/>
          <w:color w:val="000000"/>
        </w:rPr>
        <w:t xml:space="preserve"> </w:t>
      </w:r>
      <w:r w:rsidRPr="00361936">
        <w:rPr>
          <w:snapToGrid w:val="0"/>
          <w:color w:val="000000"/>
        </w:rPr>
        <w:t>(</w:t>
      </w:r>
      <w:r>
        <w:rPr>
          <w:snapToGrid w:val="0"/>
          <w:color w:val="000000"/>
        </w:rPr>
        <w:t>association de l’</w:t>
      </w:r>
      <w:hyperlink r:id="rId85" w:history="1">
        <w:r w:rsidRPr="00361936">
          <w:rPr>
            <w:rStyle w:val="Lienhypertexte"/>
            <w:snapToGrid w:val="0"/>
          </w:rPr>
          <w:t>effet papillon</w:t>
        </w:r>
      </w:hyperlink>
      <w:r>
        <w:rPr>
          <w:snapToGrid w:val="0"/>
          <w:color w:val="000000"/>
        </w:rPr>
        <w:t xml:space="preserve"> et de la théorie des </w:t>
      </w:r>
      <w:hyperlink r:id="rId86" w:history="1">
        <w:r w:rsidRPr="00361936">
          <w:rPr>
            <w:rStyle w:val="Lienhypertexte"/>
            <w:snapToGrid w:val="0"/>
          </w:rPr>
          <w:t>fractales</w:t>
        </w:r>
      </w:hyperlink>
      <w:r>
        <w:rPr>
          <w:snapToGrid w:val="0"/>
          <w:color w:val="000000"/>
        </w:rPr>
        <w:t xml:space="preserve"> de </w:t>
      </w:r>
      <w:hyperlink r:id="rId87" w:history="1">
        <w:r w:rsidRPr="00D50E5F">
          <w:rPr>
            <w:rStyle w:val="Lienhypertexte"/>
            <w:snapToGrid w:val="0"/>
          </w:rPr>
          <w:t>MANDELBROT</w:t>
        </w:r>
      </w:hyperlink>
      <w:r>
        <w:rPr>
          <w:snapToGrid w:val="0"/>
          <w:color w:val="000000"/>
        </w:rPr>
        <w:t xml:space="preserve"> – voir en fin d’ouvrage “ 4.4. Théorie du Chaos, </w:t>
      </w:r>
      <w:hyperlink r:id="rId88" w:anchor=".UO1KCaynf2o" w:history="1">
        <w:r w:rsidRPr="00D50E5F">
          <w:rPr>
            <w:rStyle w:val="Lienhypertexte"/>
            <w:snapToGrid w:val="0"/>
          </w:rPr>
          <w:t>fractales</w:t>
        </w:r>
      </w:hyperlink>
      <w:r>
        <w:rPr>
          <w:snapToGrid w:val="0"/>
          <w:color w:val="000000"/>
        </w:rPr>
        <w:t xml:space="preserve"> et cygnes noirs ”)</w:t>
      </w:r>
      <w:r w:rsidRPr="0056383D">
        <w:rPr>
          <w:snapToGrid w:val="0"/>
          <w:color w:val="000000"/>
        </w:rPr>
        <w:t>.</w:t>
      </w:r>
    </w:p>
    <w:p w14:paraId="0693B4D6" w14:textId="77777777" w:rsidR="00CD340A" w:rsidRPr="0056383D" w:rsidRDefault="00CD340A" w:rsidP="00CD340A">
      <w:pPr>
        <w:ind w:right="16"/>
        <w:jc w:val="both"/>
        <w:rPr>
          <w:snapToGrid w:val="0"/>
          <w:color w:val="000000"/>
        </w:rPr>
      </w:pPr>
      <w:r w:rsidRPr="0056383D">
        <w:rPr>
          <w:snapToGrid w:val="0"/>
          <w:color w:val="000000"/>
        </w:rPr>
        <w:t>Le déclin du Monétarisme</w:t>
      </w:r>
      <w:r w:rsidR="0041495B" w:rsidRPr="0056383D">
        <w:rPr>
          <w:snapToGrid w:val="0"/>
          <w:color w:val="000000"/>
        </w:rPr>
        <w:fldChar w:fldCharType="begin"/>
      </w:r>
      <w:r w:rsidRPr="0056383D">
        <w:rPr>
          <w:snapToGrid w:val="0"/>
          <w:color w:val="000000"/>
        </w:rPr>
        <w:instrText xml:space="preserve"> XE "</w:instrText>
      </w:r>
      <w:r w:rsidRPr="0056383D">
        <w:instrText>Monétarisme"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n’est pas seulement idéologique ou sujet à un effet de mode : force est de constater, aujourd’hui en 1999, que si toutes les banques nationales s’unissaient, elles ne pourraient tenir que 17 minutes face au marché !</w:t>
      </w:r>
      <w:r w:rsidRPr="00EB47DE">
        <w:rPr>
          <w:snapToGrid w:val="0"/>
          <w:position w:val="6"/>
          <w:sz w:val="16"/>
        </w:rPr>
        <w:footnoteReference w:id="15"/>
      </w:r>
    </w:p>
    <w:p w14:paraId="0693B4D7" w14:textId="77777777" w:rsidR="00CD340A" w:rsidRPr="0056383D" w:rsidRDefault="00FB0892" w:rsidP="00CD340A">
      <w:pPr>
        <w:spacing w:before="240"/>
        <w:ind w:right="16"/>
        <w:jc w:val="center"/>
        <w:rPr>
          <w:snapToGrid w:val="0"/>
          <w:color w:val="000000"/>
        </w:rPr>
      </w:pPr>
      <w:r>
        <w:rPr>
          <w:noProof/>
          <w:color w:val="000000"/>
          <w:lang w:eastAsia="fr-BE"/>
        </w:rPr>
        <w:lastRenderedPageBreak/>
        <w:drawing>
          <wp:inline distT="0" distB="0" distL="0" distR="0" wp14:anchorId="0693BACA" wp14:editId="0693BACB">
            <wp:extent cx="3914775" cy="8020050"/>
            <wp:effectExtent l="38100" t="38100" r="85725" b="76200"/>
            <wp:docPr id="9" name="Image 9" desc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14775" cy="802005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p w14:paraId="0693B4D8" w14:textId="77777777" w:rsidR="00CD340A" w:rsidRPr="00CD340A" w:rsidRDefault="00CD340A" w:rsidP="0005457C">
      <w:pPr>
        <w:pStyle w:val="StyleDivAprs14pt"/>
        <w:rPr>
          <w:lang w:val="fr-BE"/>
        </w:rPr>
      </w:pPr>
    </w:p>
    <w:p w14:paraId="0693B4D9" w14:textId="77777777" w:rsidR="004C64BF" w:rsidRDefault="004C64BF" w:rsidP="00105A84">
      <w:pPr>
        <w:pStyle w:val="Titre2"/>
      </w:pPr>
      <w:bookmarkStart w:id="95" w:name="Types_d_argent_159644451923668"/>
      <w:bookmarkStart w:id="96" w:name="_Toc482815590"/>
      <w:bookmarkEnd w:id="95"/>
      <w:r>
        <w:lastRenderedPageBreak/>
        <w:t>Types d'argent</w:t>
      </w:r>
      <w:bookmarkEnd w:id="96"/>
      <w:r>
        <w:t xml:space="preserve"> </w:t>
      </w:r>
    </w:p>
    <w:bookmarkStart w:id="97" w:name="Courbes_2121165730059147_13809_924165544"/>
    <w:bookmarkEnd w:id="97"/>
    <w:p w14:paraId="0693B4DA" w14:textId="77777777" w:rsidR="00460FB6" w:rsidRPr="00460FB6" w:rsidRDefault="00FB0892" w:rsidP="00460FB6">
      <w:pPr>
        <w:rPr>
          <w:szCs w:val="28"/>
        </w:rPr>
      </w:pPr>
      <w:r>
        <w:rPr>
          <w:noProof/>
          <w:lang w:eastAsia="fr-BE"/>
        </w:rPr>
        <mc:AlternateContent>
          <mc:Choice Requires="wps">
            <w:drawing>
              <wp:anchor distT="0" distB="0" distL="114300" distR="114300" simplePos="0" relativeHeight="251650560" behindDoc="0" locked="0" layoutInCell="1" allowOverlap="1" wp14:anchorId="0693BACC" wp14:editId="0693BACD">
                <wp:simplePos x="0" y="0"/>
                <wp:positionH relativeFrom="column">
                  <wp:posOffset>452755</wp:posOffset>
                </wp:positionH>
                <wp:positionV relativeFrom="paragraph">
                  <wp:posOffset>3391535</wp:posOffset>
                </wp:positionV>
                <wp:extent cx="1207135" cy="635"/>
                <wp:effectExtent l="14605" t="57785" r="6985" b="55880"/>
                <wp:wrapNone/>
                <wp:docPr id="8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7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747E9C8E" id="_x0000_t32" coordsize="21600,21600" o:spt="32" o:oned="t" path="m,l21600,21600e" filled="f">
                <v:path arrowok="t" fillok="f" o:connecttype="none"/>
                <o:lock v:ext="edit" shapetype="t"/>
              </v:shapetype>
              <v:shape id="AutoShape 5" o:spid="_x0000_s1026" type="#_x0000_t32" style="position:absolute;margin-left:35.65pt;margin-top:267.05pt;width:95.05pt;height:.0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">
                <v:stroke endarrow="block"/>
              </v:shape>
            </w:pict>
          </mc:Fallback>
        </mc:AlternateContent>
      </w:r>
      <w:r>
        <w:rPr>
          <w:noProof/>
          <w:lang w:eastAsia="fr-BE"/>
        </w:rPr>
        <mc:AlternateContent>
          <mc:Choice Requires="wps">
            <w:drawing>
              <wp:anchor distT="0" distB="0" distL="114300" distR="114300" simplePos="0" relativeHeight="251648512" behindDoc="0" locked="0" layoutInCell="1" allowOverlap="1" wp14:anchorId="0693BACE" wp14:editId="0693BACF">
                <wp:simplePos x="0" y="0"/>
                <wp:positionH relativeFrom="column">
                  <wp:posOffset>1623060</wp:posOffset>
                </wp:positionH>
                <wp:positionV relativeFrom="paragraph">
                  <wp:posOffset>2990215</wp:posOffset>
                </wp:positionV>
                <wp:extent cx="2129155" cy="657860"/>
                <wp:effectExtent l="13335" t="8890" r="10160" b="9525"/>
                <wp:wrapNone/>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657860"/>
                        </a:xfrm>
                        <a:prstGeom prst="wedgeEllipseCallout">
                          <a:avLst>
                            <a:gd name="adj1" fmla="val -49792"/>
                            <a:gd name="adj2" fmla="val 963"/>
                          </a:avLst>
                        </a:prstGeom>
                        <a:solidFill>
                          <a:srgbClr val="FFFFFF"/>
                        </a:solidFill>
                        <a:ln w="9525">
                          <a:solidFill>
                            <a:srgbClr val="000000"/>
                          </a:solidFill>
                          <a:miter lim="800000"/>
                          <a:headEnd/>
                          <a:tailEnd/>
                        </a:ln>
                      </wps:spPr>
                      <wps:txbx>
                        <w:txbxContent>
                          <w:p w14:paraId="0693BB32" w14:textId="77777777" w:rsidR="00105A84" w:rsidRPr="00083DD8" w:rsidRDefault="00105A84">
                            <w:pPr>
                              <w:rPr>
                                <w:sz w:val="16"/>
                              </w:rPr>
                            </w:pPr>
                            <w:r w:rsidRPr="00083DD8">
                              <w:rPr>
                                <w:sz w:val="16"/>
                              </w:rPr>
                              <w:t xml:space="preserve">Coefficient de création </w:t>
                            </w:r>
                            <w:r>
                              <w:rPr>
                                <w:sz w:val="16"/>
                              </w:rPr>
                              <w:t>financière (= niveau de spéculation) : * 50</w:t>
                            </w:r>
                            <w:r w:rsidRPr="00083DD8">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6" type="#_x0000_t63" style="position:absolute;margin-left:127.8pt;margin-top:235.45pt;width:167.65pt;height:5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" adj="45,11008">
                <v:textbox>
                  <w:txbxContent>
                    <w:p w14:paraId="0693BB32" w14:textId="77777777" w:rsidR="00105A84" w:rsidRPr="00083DD8" w:rsidRDefault="00105A84">
                      <w:pPr>
                        <w:rPr>
                          <w:sz w:val="16"/>
                        </w:rPr>
                      </w:pPr>
                      <w:r w:rsidRPr="00083DD8">
                        <w:rPr>
                          <w:sz w:val="16"/>
                        </w:rPr>
                        <w:t xml:space="preserve">Coefficient de création </w:t>
                      </w:r>
                      <w:r>
                        <w:rPr>
                          <w:sz w:val="16"/>
                        </w:rPr>
                        <w:t>financière (= niveau de spéculation) : * 50</w:t>
                      </w:r>
                      <w:r w:rsidRPr="00083DD8">
                        <w:rPr>
                          <w:sz w:val="16"/>
                        </w:rPr>
                        <w:t>.</w:t>
                      </w:r>
                    </w:p>
                  </w:txbxContent>
                </v:textbox>
              </v:shape>
            </w:pict>
          </mc:Fallback>
        </mc:AlternateContent>
      </w:r>
      <w:r>
        <w:rPr>
          <w:noProof/>
          <w:lang w:eastAsia="fr-BE"/>
        </w:rPr>
        <mc:AlternateContent>
          <mc:Choice Requires="wps">
            <w:drawing>
              <wp:anchor distT="0" distB="0" distL="114300" distR="114300" simplePos="0" relativeHeight="251646464" behindDoc="0" locked="0" layoutInCell="1" allowOverlap="1" wp14:anchorId="0693BAD0" wp14:editId="0693BAD1">
                <wp:simplePos x="0" y="0"/>
                <wp:positionH relativeFrom="column">
                  <wp:posOffset>116205</wp:posOffset>
                </wp:positionH>
                <wp:positionV relativeFrom="paragraph">
                  <wp:posOffset>1388110</wp:posOffset>
                </wp:positionV>
                <wp:extent cx="1368425" cy="657860"/>
                <wp:effectExtent l="11430" t="140335" r="10795" b="11430"/>
                <wp:wrapNone/>
                <wp:docPr id="8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57860"/>
                        </a:xfrm>
                        <a:prstGeom prst="wedgeEllipseCallout">
                          <a:avLst>
                            <a:gd name="adj1" fmla="val -34685"/>
                            <a:gd name="adj2" fmla="val -69014"/>
                          </a:avLst>
                        </a:prstGeom>
                        <a:solidFill>
                          <a:srgbClr val="FFFFFF"/>
                        </a:solidFill>
                        <a:ln w="9525">
                          <a:solidFill>
                            <a:srgbClr val="000000"/>
                          </a:solidFill>
                          <a:miter lim="800000"/>
                          <a:headEnd/>
                          <a:tailEnd/>
                        </a:ln>
                      </wps:spPr>
                      <wps:txbx>
                        <w:txbxContent>
                          <w:p w14:paraId="0693BB33" w14:textId="77777777" w:rsidR="00105A84" w:rsidRPr="00083DD8" w:rsidRDefault="00105A84">
                            <w:pPr>
                              <w:rPr>
                                <w:sz w:val="16"/>
                              </w:rPr>
                            </w:pPr>
                            <w:r w:rsidRPr="00083DD8">
                              <w:rPr>
                                <w:sz w:val="16"/>
                              </w:rPr>
                              <w:t>Coefficient de création monétaire :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3" style="position:absolute;margin-left:9.15pt;margin-top:109.3pt;width:107.75pt;height:5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" adj="3308,-4107">
                <v:textbox>
                  <w:txbxContent>
                    <w:p w14:paraId="0693BB33" w14:textId="77777777" w:rsidR="00105A84" w:rsidRPr="00083DD8" w:rsidRDefault="00105A84">
                      <w:pPr>
                        <w:rPr>
                          <w:sz w:val="16"/>
                        </w:rPr>
                      </w:pPr>
                      <w:r w:rsidRPr="00083DD8">
                        <w:rPr>
                          <w:sz w:val="16"/>
                        </w:rPr>
                        <w:t>Coefficient de création monétaire : * 2.</w:t>
                      </w:r>
                    </w:p>
                  </w:txbxContent>
                </v:textbox>
              </v:shape>
            </w:pict>
          </mc:Fallback>
        </mc:AlternateContent>
      </w:r>
      <w:r>
        <w:rPr>
          <w:noProof/>
          <w:lang w:eastAsia="fr-BE"/>
        </w:rPr>
        <mc:AlternateContent>
          <mc:Choice Requires="wps">
            <w:drawing>
              <wp:anchor distT="0" distB="0" distL="114300" distR="114300" simplePos="0" relativeHeight="251644416" behindDoc="0" locked="0" layoutInCell="1" allowOverlap="1" wp14:anchorId="0693BAD2" wp14:editId="0693BAD3">
                <wp:simplePos x="0" y="0"/>
                <wp:positionH relativeFrom="column">
                  <wp:posOffset>3862070</wp:posOffset>
                </wp:positionH>
                <wp:positionV relativeFrom="paragraph">
                  <wp:posOffset>765810</wp:posOffset>
                </wp:positionV>
                <wp:extent cx="1221105" cy="848360"/>
                <wp:effectExtent l="175895" t="565785" r="12700" b="5080"/>
                <wp:wrapNone/>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848360"/>
                        </a:xfrm>
                        <a:prstGeom prst="wedgeRoundRectCallout">
                          <a:avLst>
                            <a:gd name="adj1" fmla="val -61699"/>
                            <a:gd name="adj2" fmla="val -112426"/>
                            <a:gd name="adj3" fmla="val 16667"/>
                          </a:avLst>
                        </a:prstGeom>
                        <a:solidFill>
                          <a:srgbClr val="FFFFFF"/>
                        </a:solidFill>
                        <a:ln w="9525">
                          <a:solidFill>
                            <a:srgbClr val="000000"/>
                          </a:solidFill>
                          <a:miter lim="800000"/>
                          <a:headEnd/>
                          <a:tailEnd/>
                        </a:ln>
                      </wps:spPr>
                      <wps:txbx>
                        <w:txbxContent>
                          <w:p w14:paraId="0693BB34" w14:textId="77777777" w:rsidR="00105A84" w:rsidRPr="00D74932" w:rsidRDefault="00105A84">
                            <w:pPr>
                              <w:rPr>
                                <w:sz w:val="16"/>
                              </w:rPr>
                            </w:pPr>
                            <w:r w:rsidRPr="00D74932">
                              <w:rPr>
                                <w:sz w:val="16"/>
                              </w:rPr>
                              <w:t>Cartes de débit : paiement suivi des achats.</w:t>
                            </w:r>
                          </w:p>
                          <w:p w14:paraId="0693BB35" w14:textId="77777777" w:rsidR="00105A84" w:rsidRPr="00D74932" w:rsidRDefault="00105A84">
                            <w:pPr>
                              <w:rPr>
                                <w:sz w:val="16"/>
                              </w:rPr>
                            </w:pPr>
                            <w:r w:rsidRPr="00D74932">
                              <w:rPr>
                                <w:sz w:val="16"/>
                              </w:rPr>
                              <w:t>Cartes de crédit : achats suivis du 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8" type="#_x0000_t62" style="position:absolute;margin-left:304.1pt;margin-top:60.3pt;width:96.15pt;height:6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" adj="-2527,-13484">
                <v:textbox>
                  <w:txbxContent>
                    <w:p w14:paraId="0693BB34" w14:textId="77777777" w:rsidR="00105A84" w:rsidRPr="00D74932" w:rsidRDefault="00105A84">
                      <w:pPr>
                        <w:rPr>
                          <w:sz w:val="16"/>
                        </w:rPr>
                      </w:pPr>
                      <w:r w:rsidRPr="00D74932">
                        <w:rPr>
                          <w:sz w:val="16"/>
                        </w:rPr>
                        <w:t>Cartes de débit : paiement suivi des achats.</w:t>
                      </w:r>
                    </w:p>
                    <w:p w14:paraId="0693BB35" w14:textId="77777777" w:rsidR="00105A84" w:rsidRPr="00D74932" w:rsidRDefault="00105A84">
                      <w:pPr>
                        <w:rPr>
                          <w:sz w:val="16"/>
                        </w:rPr>
                      </w:pPr>
                      <w:r w:rsidRPr="00D74932">
                        <w:rPr>
                          <w:sz w:val="16"/>
                        </w:rPr>
                        <w:t>Cartes de crédit : achats suivis du paiement.</w:t>
                      </w:r>
                    </w:p>
                  </w:txbxContent>
                </v:textbox>
              </v:shape>
            </w:pict>
          </mc:Fallback>
        </mc:AlternateContent>
      </w:r>
      <w:r>
        <w:rPr>
          <w:noProof/>
          <w:shd w:val="solid" w:color="FFFFFF" w:fill="auto"/>
          <w:lang w:eastAsia="fr-BE"/>
        </w:rPr>
        <w:drawing>
          <wp:inline distT="0" distB="0" distL="0" distR="0" wp14:anchorId="0693BAD4" wp14:editId="0693BAD5">
            <wp:extent cx="5753100" cy="39147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0693B4DB" w14:textId="77777777" w:rsidR="004C64BF" w:rsidRDefault="004C64BF" w:rsidP="00105A84">
      <w:pPr>
        <w:pStyle w:val="Titre2"/>
      </w:pPr>
      <w:bookmarkStart w:id="98" w:name="_Toc482815591"/>
      <w:r>
        <w:t>Courbes</w:t>
      </w:r>
      <w:bookmarkEnd w:id="98"/>
      <w:r>
        <w:t xml:space="preserve"> </w:t>
      </w:r>
    </w:p>
    <w:p w14:paraId="0693B4DC" w14:textId="77777777" w:rsidR="007E5C09" w:rsidRDefault="007E5C09" w:rsidP="007E5C09">
      <w:pPr>
        <w:pStyle w:val="Titre3"/>
      </w:pPr>
      <w:bookmarkStart w:id="99" w:name="_Toc482815592"/>
      <w:r>
        <w:t>Prix de l’argent actuels</w:t>
      </w:r>
      <w:bookmarkEnd w:id="99"/>
    </w:p>
    <w:p w14:paraId="0693B4DD" w14:textId="77777777" w:rsidR="007E5C09" w:rsidRDefault="007E5C09" w:rsidP="007E5C09">
      <w:r>
        <w:t xml:space="preserve">Devises : de l’ordre de </w:t>
      </w:r>
      <w:r w:rsidR="00783525">
        <w:t>1</w:t>
      </w:r>
      <w:r>
        <w:t>,</w:t>
      </w:r>
      <w:r w:rsidR="00783525">
        <w:t>0</w:t>
      </w:r>
      <w:r>
        <w:t> % l’an</w:t>
      </w:r>
      <w:r w:rsidR="00783525">
        <w:t xml:space="preserve"> (2013)</w:t>
      </w:r>
      <w:r>
        <w:t>.</w:t>
      </w:r>
    </w:p>
    <w:p w14:paraId="0693B4DE" w14:textId="77777777" w:rsidR="007E5C09" w:rsidRPr="007E5C09" w:rsidRDefault="007E5C09" w:rsidP="007E5C09">
      <w:r>
        <w:t>Obligations : de l’ordre de 5 % l’an.</w:t>
      </w:r>
    </w:p>
    <w:p w14:paraId="0693B4DF" w14:textId="77777777" w:rsidR="007E5C09" w:rsidRDefault="007E5C09" w:rsidP="007E5C09">
      <w:r>
        <w:t>Actions : de l’ordre de 10 % l’an.</w:t>
      </w:r>
    </w:p>
    <w:p w14:paraId="0693B4E0" w14:textId="77777777" w:rsidR="007E5C09" w:rsidRDefault="007E5C09" w:rsidP="007E5C09">
      <w:r>
        <w:t>SICAV, SICAF et autres FCP : voir la dominante du panier et se reporter aux trois prix précédents.</w:t>
      </w:r>
    </w:p>
    <w:p w14:paraId="0693B4E1" w14:textId="77777777" w:rsidR="007E5C09" w:rsidRPr="007E5C09" w:rsidRDefault="007E5C09" w:rsidP="007E5C09">
      <w:r>
        <w:t>SICAFI et certificats immobiliers : de l’ordre de 8 % l’an.</w:t>
      </w:r>
    </w:p>
    <w:p w14:paraId="0693B4E2" w14:textId="77777777" w:rsidR="007E5C09" w:rsidRPr="007E5C09" w:rsidRDefault="007E5C09" w:rsidP="007E5C09">
      <w:r>
        <w:t>Paris (options CALL &amp; PUT, FUTURES et FALCONs) : de l’ordre de 120 % l’an.</w:t>
      </w:r>
    </w:p>
    <w:p w14:paraId="0693B4E3" w14:textId="77777777" w:rsidR="004C64BF" w:rsidRDefault="004C64BF" w:rsidP="004C64BF">
      <w:pPr>
        <w:pStyle w:val="Titre3"/>
        <w:spacing w:after="280" w:afterAutospacing="1"/>
      </w:pPr>
      <w:bookmarkStart w:id="100" w:name="Courbe_des_rendements_72301764_657450045"/>
      <w:bookmarkStart w:id="101" w:name="_Toc482815593"/>
      <w:bookmarkEnd w:id="100"/>
      <w:r>
        <w:t>Courbe des rendements</w:t>
      </w:r>
      <w:bookmarkEnd w:id="101"/>
      <w:r>
        <w:t xml:space="preserve"> </w:t>
      </w:r>
    </w:p>
    <w:p w14:paraId="0693B4E4" w14:textId="77777777" w:rsidR="00460FB6" w:rsidRPr="00460FB6" w:rsidRDefault="00460FB6" w:rsidP="00460FB6">
      <w:r>
        <w:t>Courbe qui relie les rendements moyens pour chaque type de risque.</w:t>
      </w:r>
    </w:p>
    <w:p w14:paraId="0693B4E5" w14:textId="77777777" w:rsidR="004C64BF" w:rsidRDefault="004C64BF" w:rsidP="004C64BF">
      <w:pPr>
        <w:pStyle w:val="Titre3"/>
        <w:spacing w:after="280" w:afterAutospacing="1"/>
      </w:pPr>
      <w:bookmarkStart w:id="102" w:name="Courbe_d_efficience_6069013634_387676219"/>
      <w:bookmarkStart w:id="103" w:name="_Toc482815594"/>
      <w:bookmarkEnd w:id="102"/>
      <w:r>
        <w:t>Courbe d'efficience</w:t>
      </w:r>
      <w:bookmarkEnd w:id="103"/>
      <w:r>
        <w:t xml:space="preserve"> </w:t>
      </w:r>
    </w:p>
    <w:p w14:paraId="0693B4E6" w14:textId="77777777" w:rsidR="00460FB6" w:rsidRPr="00460FB6" w:rsidRDefault="00460FB6" w:rsidP="00460FB6">
      <w:r>
        <w:t>Courbe qui relie les rendements maxima pour chaque type de risque.</w:t>
      </w:r>
    </w:p>
    <w:p w14:paraId="0693B4E7" w14:textId="77777777" w:rsidR="00460FB6" w:rsidRPr="00460FB6" w:rsidRDefault="00460FB6" w:rsidP="00460FB6"/>
    <w:p w14:paraId="0693B4E8" w14:textId="77777777" w:rsidR="004C64BF" w:rsidRDefault="00FB0892" w:rsidP="004C64BF">
      <w:pPr>
        <w:pStyle w:val="Img"/>
        <w:spacing w:after="280" w:afterAutospacing="1"/>
      </w:pPr>
      <w:r>
        <w:rPr>
          <w:noProof/>
          <w:lang w:val="fr-BE" w:eastAsia="fr-BE"/>
        </w:rPr>
        <w:lastRenderedPageBreak/>
        <w:drawing>
          <wp:inline distT="0" distB="0" distL="0" distR="0" wp14:anchorId="0693BAD6" wp14:editId="0693BAD7">
            <wp:extent cx="2571750" cy="1809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r w:rsidR="004C64BF">
        <w:t xml:space="preserve"> </w:t>
      </w:r>
    </w:p>
    <w:p w14:paraId="0693B4E9" w14:textId="77777777" w:rsidR="004C64BF" w:rsidRDefault="004C64BF" w:rsidP="00105A84">
      <w:pPr>
        <w:pStyle w:val="Titre2"/>
      </w:pPr>
      <w:bookmarkStart w:id="104" w:name="Cr_dits_aux_particuliers_24720"/>
      <w:bookmarkStart w:id="105" w:name="_Toc482815595"/>
      <w:bookmarkEnd w:id="104"/>
      <w:r>
        <w:t>Critères d'octroi des crédits</w:t>
      </w:r>
      <w:bookmarkEnd w:id="105"/>
    </w:p>
    <w:p w14:paraId="0693B4EA" w14:textId="77777777" w:rsidR="00A53617" w:rsidRPr="0056383D" w:rsidRDefault="00A53617" w:rsidP="00A53617">
      <w:pPr>
        <w:spacing w:before="240"/>
        <w:ind w:right="16"/>
        <w:jc w:val="both"/>
        <w:rPr>
          <w:snapToGrid w:val="0"/>
          <w:color w:val="000000"/>
        </w:rPr>
      </w:pPr>
      <w:r w:rsidRPr="0056383D">
        <w:rPr>
          <w:snapToGrid w:val="0"/>
          <w:color w:val="000000"/>
        </w:rPr>
        <w:t>Le crédit bancaire est un contrat entre le banquier et l’emprunteur, par lequel la banque s’engage à mettre à disposition du cocontractant une somme d’argent, moyennant remboursement, à un terme donné, en plusieurs remboursements.</w:t>
      </w:r>
    </w:p>
    <w:p w14:paraId="0693B4EB" w14:textId="77777777" w:rsidR="00A53617" w:rsidRPr="0056383D" w:rsidRDefault="00A53617" w:rsidP="00A53617">
      <w:pPr>
        <w:ind w:right="16"/>
        <w:jc w:val="both"/>
        <w:rPr>
          <w:snapToGrid w:val="0"/>
          <w:color w:val="000000"/>
        </w:rPr>
      </w:pPr>
      <w:r w:rsidRPr="0056383D">
        <w:rPr>
          <w:snapToGrid w:val="0"/>
          <w:color w:val="000000"/>
        </w:rPr>
        <w:t>L’octroi d’un crédit est affaire d’appréciation du risque</w:t>
      </w:r>
      <w:r w:rsidR="0041495B" w:rsidRPr="0056383D">
        <w:rPr>
          <w:snapToGrid w:val="0"/>
          <w:color w:val="000000"/>
        </w:rPr>
        <w:fldChar w:fldCharType="begin"/>
      </w:r>
      <w:r w:rsidRPr="0056383D">
        <w:rPr>
          <w:snapToGrid w:val="0"/>
          <w:color w:val="000000"/>
        </w:rPr>
        <w:instrText xml:space="preserve"> XE "</w:instrText>
      </w:r>
      <w:r w:rsidRPr="0056383D">
        <w:instrText>risque"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encouru par le banquier en fonction de la confiance qu’il accorde à l’emprunteur. Ce jugement est donc forcément conditionné par des variables objectives et subjectives. Il faudra en tous cas que l’emprunteur participe aux pertes résultant des contrats non honorés, au même titre que les prix des biens proposés dans une grande surface incorporent le coût des vols et autres pertes.</w:t>
      </w:r>
    </w:p>
    <w:p w14:paraId="0693B4EC" w14:textId="77777777" w:rsidR="00A53617" w:rsidRPr="0056383D" w:rsidRDefault="00A53617" w:rsidP="00A53617">
      <w:pPr>
        <w:ind w:right="16"/>
        <w:jc w:val="both"/>
        <w:rPr>
          <w:snapToGrid w:val="0"/>
          <w:color w:val="000000"/>
        </w:rPr>
      </w:pPr>
      <w:r w:rsidRPr="0056383D">
        <w:rPr>
          <w:snapToGrid w:val="0"/>
          <w:color w:val="000000"/>
        </w:rPr>
        <w:t xml:space="preserve">Divers critères permettent de classer les crédits : la </w:t>
      </w:r>
      <w:r w:rsidRPr="0056383D">
        <w:rPr>
          <w:i/>
          <w:snapToGrid w:val="0"/>
          <w:color w:val="000000"/>
        </w:rPr>
        <w:t>durée</w:t>
      </w:r>
      <w:r w:rsidRPr="0056383D">
        <w:rPr>
          <w:snapToGrid w:val="0"/>
          <w:color w:val="000000"/>
        </w:rPr>
        <w:t xml:space="preserve"> (</w:t>
      </w:r>
      <w:r>
        <w:rPr>
          <w:snapToGrid w:val="0"/>
          <w:color w:val="000000"/>
        </w:rPr>
        <w:t xml:space="preserve">de </w:t>
      </w:r>
      <w:r w:rsidRPr="0056383D">
        <w:rPr>
          <w:snapToGrid w:val="0"/>
          <w:color w:val="000000"/>
        </w:rPr>
        <w:t xml:space="preserve">court à long terme), la </w:t>
      </w:r>
      <w:r w:rsidRPr="0056383D">
        <w:rPr>
          <w:i/>
          <w:snapToGrid w:val="0"/>
          <w:color w:val="000000"/>
        </w:rPr>
        <w:t>destination</w:t>
      </w:r>
      <w:r w:rsidRPr="0056383D">
        <w:rPr>
          <w:snapToGrid w:val="0"/>
          <w:color w:val="000000"/>
        </w:rPr>
        <w:t xml:space="preserve"> (production, consommation, etc.), ou le type de </w:t>
      </w:r>
      <w:r w:rsidRPr="0056383D">
        <w:rPr>
          <w:i/>
          <w:snapToGrid w:val="0"/>
          <w:color w:val="000000"/>
        </w:rPr>
        <w:t>garantie</w:t>
      </w:r>
      <w:r w:rsidRPr="0056383D">
        <w:rPr>
          <w:snapToGrid w:val="0"/>
          <w:color w:val="000000"/>
        </w:rPr>
        <w:t xml:space="preserve"> offerte (réelle, personnelle, ou morale.)</w:t>
      </w:r>
    </w:p>
    <w:p w14:paraId="0693B4ED" w14:textId="77777777" w:rsidR="00A53617" w:rsidRPr="0056383D" w:rsidRDefault="00A53617" w:rsidP="00A53617">
      <w:pPr>
        <w:spacing w:before="240"/>
        <w:ind w:right="16"/>
        <w:jc w:val="both"/>
        <w:rPr>
          <w:snapToGrid w:val="0"/>
          <w:color w:val="000000"/>
        </w:rPr>
      </w:pPr>
    </w:p>
    <w:p w14:paraId="0693B4EE" w14:textId="77777777" w:rsidR="00A53617" w:rsidRPr="0056383D" w:rsidRDefault="00A53617" w:rsidP="00A53617">
      <w:pPr>
        <w:spacing w:before="240"/>
        <w:ind w:right="16"/>
        <w:jc w:val="both"/>
        <w:rPr>
          <w:snapToGrid w:val="0"/>
          <w:color w:val="000000"/>
        </w:rPr>
      </w:pPr>
      <w:r w:rsidRPr="0056383D">
        <w:rPr>
          <w:snapToGrid w:val="0"/>
          <w:color w:val="000000"/>
        </w:rPr>
        <w:t xml:space="preserve">Les </w:t>
      </w:r>
      <w:hyperlink r:id="rId92" w:history="1">
        <w:r w:rsidRPr="00EF40BC">
          <w:rPr>
            <w:rStyle w:val="Lienhypertexte"/>
            <w:b/>
            <w:snapToGrid w:val="0"/>
            <w:sz w:val="28"/>
          </w:rPr>
          <w:t>risques</w:t>
        </w:r>
      </w:hyperlink>
      <w:r w:rsidR="0041495B">
        <w:rPr>
          <w:b/>
          <w:snapToGrid w:val="0"/>
          <w:color w:val="000000"/>
          <w:sz w:val="28"/>
        </w:rPr>
        <w:fldChar w:fldCharType="begin"/>
      </w:r>
      <w:r>
        <w:instrText xml:space="preserve"> TC "</w:instrText>
      </w:r>
      <w:bookmarkStart w:id="106" w:name="_Toc189382504"/>
      <w:bookmarkStart w:id="107" w:name="_Toc189382895"/>
      <w:bookmarkStart w:id="108" w:name="_Toc189383109"/>
      <w:bookmarkStart w:id="109" w:name="_Toc189383202"/>
      <w:bookmarkStart w:id="110" w:name="_Toc192996369"/>
      <w:bookmarkStart w:id="111" w:name="_Toc279042790"/>
      <w:r w:rsidRPr="000826E3">
        <w:rPr>
          <w:b/>
          <w:snapToGrid w:val="0"/>
          <w:color w:val="000000"/>
          <w:sz w:val="28"/>
        </w:rPr>
        <w:instrText>risques</w:instrText>
      </w:r>
      <w:bookmarkEnd w:id="106"/>
      <w:bookmarkEnd w:id="107"/>
      <w:bookmarkEnd w:id="108"/>
      <w:bookmarkEnd w:id="109"/>
      <w:bookmarkEnd w:id="110"/>
      <w:bookmarkEnd w:id="111"/>
      <w:r>
        <w:instrText xml:space="preserve">" \f C \l "3" </w:instrText>
      </w:r>
      <w:r w:rsidR="0041495B">
        <w:rPr>
          <w:b/>
          <w:snapToGrid w:val="0"/>
          <w:color w:val="000000"/>
          <w:sz w:val="28"/>
        </w:rPr>
        <w:fldChar w:fldCharType="end"/>
      </w:r>
      <w:r w:rsidRPr="0056383D">
        <w:rPr>
          <w:snapToGrid w:val="0"/>
          <w:color w:val="000000"/>
        </w:rPr>
        <w:t xml:space="preserve"> que le banquier peut rencontrer sont de différentes natures.</w:t>
      </w:r>
    </w:p>
    <w:p w14:paraId="0693B4EF" w14:textId="77777777" w:rsidR="00A53617" w:rsidRPr="0056383D" w:rsidRDefault="00A53617" w:rsidP="00A53617">
      <w:pPr>
        <w:ind w:right="16"/>
        <w:jc w:val="both"/>
        <w:rPr>
          <w:snapToGrid w:val="0"/>
          <w:color w:val="000000"/>
        </w:rPr>
      </w:pPr>
      <w:r w:rsidRPr="0056383D">
        <w:rPr>
          <w:snapToGrid w:val="0"/>
          <w:color w:val="000000"/>
        </w:rPr>
        <w:t>Liés aux trois cauchemars du banquier, il existe le risque</w:t>
      </w:r>
      <w:r w:rsidR="0041495B" w:rsidRPr="0056383D">
        <w:rPr>
          <w:snapToGrid w:val="0"/>
          <w:color w:val="000000"/>
        </w:rPr>
        <w:fldChar w:fldCharType="begin"/>
      </w:r>
      <w:r w:rsidRPr="0056383D">
        <w:rPr>
          <w:snapToGrid w:val="0"/>
          <w:color w:val="000000"/>
        </w:rPr>
        <w:instrText xml:space="preserve"> XE "</w:instrText>
      </w:r>
      <w:r w:rsidRPr="0056383D">
        <w:instrText>risque"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lié à la liquidité, le risque propre à la solvabilité, et le risque inhérent à la rentabilité.</w:t>
      </w:r>
    </w:p>
    <w:p w14:paraId="0693B4F0" w14:textId="77777777" w:rsidR="00A53617" w:rsidRPr="0056383D" w:rsidRDefault="00A53617" w:rsidP="00C25C8C">
      <w:pPr>
        <w:numPr>
          <w:ilvl w:val="0"/>
          <w:numId w:val="21"/>
        </w:numPr>
        <w:spacing w:before="240"/>
        <w:ind w:right="16"/>
        <w:jc w:val="both"/>
        <w:rPr>
          <w:snapToGrid w:val="0"/>
          <w:color w:val="000000"/>
        </w:rPr>
      </w:pPr>
      <w:r w:rsidRPr="0056383D">
        <w:rPr>
          <w:snapToGrid w:val="0"/>
          <w:color w:val="000000"/>
        </w:rPr>
        <w:t>Le risque</w:t>
      </w:r>
      <w:r w:rsidR="0041495B" w:rsidRPr="0056383D">
        <w:rPr>
          <w:snapToGrid w:val="0"/>
          <w:color w:val="000000"/>
        </w:rPr>
        <w:fldChar w:fldCharType="begin"/>
      </w:r>
      <w:r w:rsidRPr="0056383D">
        <w:rPr>
          <w:snapToGrid w:val="0"/>
          <w:color w:val="000000"/>
        </w:rPr>
        <w:instrText xml:space="preserve"> XE "</w:instrText>
      </w:r>
      <w:r w:rsidRPr="0056383D">
        <w:instrText>risque"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de liquidité est ce qu’on appelle le </w:t>
      </w:r>
      <w:r w:rsidRPr="0056383D">
        <w:rPr>
          <w:b/>
          <w:snapToGrid w:val="0"/>
          <w:color w:val="000000"/>
        </w:rPr>
        <w:t>risque d’immobilisation</w:t>
      </w:r>
      <w:r w:rsidRPr="0056383D">
        <w:rPr>
          <w:snapToGrid w:val="0"/>
          <w:color w:val="000000"/>
        </w:rPr>
        <w:t>. C’est-à-dire le risque provenant d’un crédit dont les remboursements n’ont plus lieu, faute de solvabilité dans le chef de l’emprunteur. Il en résulte une rupture dans les rentrées en liquidité du banquier, mettant ainsi en péril sa variable de liquidité.</w:t>
      </w:r>
    </w:p>
    <w:p w14:paraId="0693B4F1" w14:textId="77777777" w:rsidR="00A53617" w:rsidRPr="0056383D" w:rsidRDefault="00A53617" w:rsidP="00C25C8C">
      <w:pPr>
        <w:numPr>
          <w:ilvl w:val="0"/>
          <w:numId w:val="21"/>
        </w:numPr>
        <w:spacing w:before="240"/>
        <w:ind w:right="16"/>
        <w:jc w:val="both"/>
        <w:rPr>
          <w:snapToGrid w:val="0"/>
          <w:color w:val="000000"/>
        </w:rPr>
      </w:pPr>
      <w:r w:rsidRPr="0056383D">
        <w:rPr>
          <w:snapToGrid w:val="0"/>
          <w:color w:val="000000"/>
        </w:rPr>
        <w:t xml:space="preserve">Le </w:t>
      </w:r>
      <w:r w:rsidRPr="0056383D">
        <w:rPr>
          <w:b/>
          <w:snapToGrid w:val="0"/>
          <w:color w:val="000000"/>
        </w:rPr>
        <w:t>risque</w:t>
      </w:r>
      <w:r w:rsidR="0041495B" w:rsidRPr="0056383D">
        <w:rPr>
          <w:b/>
          <w:snapToGrid w:val="0"/>
          <w:color w:val="000000"/>
        </w:rPr>
        <w:fldChar w:fldCharType="begin"/>
      </w:r>
      <w:r w:rsidRPr="0056383D">
        <w:rPr>
          <w:b/>
          <w:snapToGrid w:val="0"/>
          <w:color w:val="000000"/>
        </w:rPr>
        <w:instrText xml:space="preserve"> XE "</w:instrText>
      </w:r>
      <w:r w:rsidRPr="0056383D">
        <w:instrText>risque"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 solvabilité</w:t>
      </w:r>
      <w:r w:rsidRPr="0056383D">
        <w:rPr>
          <w:snapToGrid w:val="0"/>
          <w:color w:val="000000"/>
        </w:rPr>
        <w:t xml:space="preserve"> est le risque que prend le banquier quand il assure mal le crédit octroyé. Quelle est cette assurance ? La garantie de l’emprunteur ou sa notoriété.</w:t>
      </w:r>
    </w:p>
    <w:p w14:paraId="0693B4F2" w14:textId="77777777" w:rsidR="00A53617" w:rsidRPr="0056383D" w:rsidRDefault="00A53617" w:rsidP="00C25C8C">
      <w:pPr>
        <w:numPr>
          <w:ilvl w:val="0"/>
          <w:numId w:val="21"/>
        </w:numPr>
        <w:spacing w:before="240"/>
        <w:ind w:right="16"/>
        <w:jc w:val="both"/>
        <w:rPr>
          <w:snapToGrid w:val="0"/>
          <w:color w:val="000000"/>
        </w:rPr>
      </w:pPr>
      <w:r w:rsidRPr="0056383D">
        <w:rPr>
          <w:snapToGrid w:val="0"/>
          <w:color w:val="000000"/>
        </w:rPr>
        <w:t xml:space="preserve">Enfin, le </w:t>
      </w:r>
      <w:r w:rsidRPr="0056383D">
        <w:rPr>
          <w:b/>
          <w:snapToGrid w:val="0"/>
          <w:color w:val="000000"/>
        </w:rPr>
        <w:t>risque</w:t>
      </w:r>
      <w:r w:rsidR="0041495B" w:rsidRPr="0056383D">
        <w:rPr>
          <w:b/>
          <w:snapToGrid w:val="0"/>
          <w:color w:val="000000"/>
        </w:rPr>
        <w:fldChar w:fldCharType="begin"/>
      </w:r>
      <w:r w:rsidRPr="0056383D">
        <w:rPr>
          <w:b/>
          <w:snapToGrid w:val="0"/>
          <w:color w:val="000000"/>
        </w:rPr>
        <w:instrText xml:space="preserve"> XE "</w:instrText>
      </w:r>
      <w:r w:rsidRPr="0056383D">
        <w:instrText>risque"</w:instrText>
      </w:r>
      <w:r w:rsidRPr="0056383D">
        <w:rPr>
          <w:b/>
          <w:snapToGrid w:val="0"/>
          <w:color w:val="000000"/>
        </w:rPr>
        <w:instrText xml:space="preserve"> </w:instrText>
      </w:r>
      <w:r w:rsidR="0041495B" w:rsidRPr="0056383D">
        <w:rPr>
          <w:b/>
          <w:snapToGrid w:val="0"/>
          <w:color w:val="000000"/>
        </w:rPr>
        <w:fldChar w:fldCharType="end"/>
      </w:r>
      <w:r w:rsidRPr="0056383D">
        <w:rPr>
          <w:b/>
          <w:snapToGrid w:val="0"/>
          <w:color w:val="000000"/>
        </w:rPr>
        <w:t xml:space="preserve"> de rentabilité</w:t>
      </w:r>
      <w:r w:rsidRPr="0056383D">
        <w:rPr>
          <w:snapToGrid w:val="0"/>
          <w:color w:val="000000"/>
        </w:rPr>
        <w:t xml:space="preserve"> est celui qui découle de l’estimation du niveau des </w:t>
      </w:r>
      <w:r w:rsidRPr="0056383D">
        <w:rPr>
          <w:i/>
          <w:snapToGrid w:val="0"/>
          <w:color w:val="000000"/>
        </w:rPr>
        <w:t>taux demandés pour les crédits</w:t>
      </w:r>
      <w:r w:rsidRPr="0056383D">
        <w:rPr>
          <w:snapToGrid w:val="0"/>
          <w:color w:val="000000"/>
        </w:rPr>
        <w:t xml:space="preserve"> par rapport aux </w:t>
      </w:r>
      <w:r w:rsidRPr="0056383D">
        <w:rPr>
          <w:i/>
          <w:snapToGrid w:val="0"/>
          <w:color w:val="000000"/>
        </w:rPr>
        <w:t>taux offerts pour les dépôts</w:t>
      </w:r>
      <w:r w:rsidRPr="0056383D">
        <w:rPr>
          <w:snapToGrid w:val="0"/>
          <w:color w:val="000000"/>
        </w:rPr>
        <w:t>. Car si l’on se rappelle les déboires de l’OCCH</w:t>
      </w:r>
      <w:r w:rsidR="0041495B" w:rsidRPr="0056383D">
        <w:rPr>
          <w:snapToGrid w:val="0"/>
          <w:color w:val="000000"/>
        </w:rPr>
        <w:fldChar w:fldCharType="begin"/>
      </w:r>
      <w:r w:rsidRPr="0056383D">
        <w:rPr>
          <w:snapToGrid w:val="0"/>
          <w:color w:val="000000"/>
        </w:rPr>
        <w:instrText xml:space="preserve"> XE "</w:instrText>
      </w:r>
      <w:r w:rsidRPr="0056383D">
        <w:instrText>OCCH"</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il faut, rappelons-nous (Cf. cours oral), aller au-delà de la comptabilité pour se rendre compte que des remboursements de crédits sont parfois liés à des prêts octroyés quelques trente années plus tôt à des taux qui n’ont souvent plus rien à voir avec les taux demandés pour les crédits du moment. Or, dans ces cas-là, il est précisément important de comparer le</w:t>
      </w:r>
      <w:r>
        <w:rPr>
          <w:snapToGrid w:val="0"/>
          <w:color w:val="000000"/>
        </w:rPr>
        <w:t>s</w:t>
      </w:r>
      <w:r w:rsidRPr="0056383D">
        <w:rPr>
          <w:snapToGrid w:val="0"/>
          <w:color w:val="000000"/>
        </w:rPr>
        <w:t xml:space="preserve"> taux des</w:t>
      </w:r>
      <w:r>
        <w:rPr>
          <w:snapToGrid w:val="0"/>
          <w:color w:val="000000"/>
        </w:rPr>
        <w:t xml:space="preserve"> crédits octroyés à l’époque aux</w:t>
      </w:r>
      <w:r w:rsidRPr="0056383D">
        <w:rPr>
          <w:snapToGrid w:val="0"/>
          <w:color w:val="000000"/>
        </w:rPr>
        <w:t xml:space="preserve"> taux des dépôts du moment, de manière à vérifier si la </w:t>
      </w:r>
      <w:r w:rsidRPr="0056383D">
        <w:rPr>
          <w:i/>
          <w:snapToGrid w:val="0"/>
          <w:color w:val="000000"/>
        </w:rPr>
        <w:t>marge d’intermédiation bancaire</w:t>
      </w:r>
      <w:r w:rsidRPr="00D94700">
        <w:rPr>
          <w:snapToGrid w:val="0"/>
          <w:position w:val="6"/>
          <w:vertAlign w:val="superscript"/>
        </w:rPr>
        <w:footnoteReference w:id="16"/>
      </w:r>
      <w:r w:rsidRPr="0056383D">
        <w:rPr>
          <w:snapToGrid w:val="0"/>
          <w:color w:val="000000"/>
        </w:rPr>
        <w:t xml:space="preserve"> est suffisante, ou au moins positive, ce qui n’était pas le cas de l’OCCH. Par contre, reprenant l’exemple du Crédit Communal, nous avons vu que cet organisme était toujours assuré de sa rentabilité du fait que tous ses contrats de crédit comportent une clause de taux variable en fin de période.</w:t>
      </w:r>
    </w:p>
    <w:p w14:paraId="0693B4F3" w14:textId="77777777" w:rsidR="00A53617" w:rsidRPr="0056383D" w:rsidRDefault="00A53617" w:rsidP="00C25C8C">
      <w:pPr>
        <w:numPr>
          <w:ilvl w:val="0"/>
          <w:numId w:val="21"/>
        </w:numPr>
        <w:spacing w:before="240"/>
        <w:ind w:right="16"/>
        <w:jc w:val="both"/>
        <w:rPr>
          <w:snapToGrid w:val="0"/>
          <w:color w:val="000000"/>
        </w:rPr>
      </w:pPr>
      <w:r w:rsidRPr="0056383D">
        <w:rPr>
          <w:snapToGrid w:val="0"/>
          <w:color w:val="000000"/>
        </w:rPr>
        <w:lastRenderedPageBreak/>
        <w:t xml:space="preserve">Ces trois familles de risques constituent une partie des risques possibles du banquier. Il y en a d’autres comme le </w:t>
      </w:r>
      <w:hyperlink r:id="rId93" w:history="1">
        <w:r w:rsidRPr="00EF40BC">
          <w:rPr>
            <w:rStyle w:val="Lienhypertexte"/>
            <w:b/>
            <w:snapToGrid w:val="0"/>
          </w:rPr>
          <w:t>risque</w:t>
        </w:r>
        <w:r w:rsidR="0041495B" w:rsidRPr="00EF40BC">
          <w:rPr>
            <w:rStyle w:val="Lienhypertexte"/>
            <w:b/>
            <w:snapToGrid w:val="0"/>
          </w:rPr>
          <w:fldChar w:fldCharType="begin"/>
        </w:r>
        <w:r w:rsidRPr="00EF40BC">
          <w:rPr>
            <w:rStyle w:val="Lienhypertexte"/>
            <w:b/>
            <w:snapToGrid w:val="0"/>
          </w:rPr>
          <w:instrText xml:space="preserve"> XE "</w:instrText>
        </w:r>
        <w:r w:rsidRPr="00EF40BC">
          <w:rPr>
            <w:rStyle w:val="Lienhypertexte"/>
          </w:rPr>
          <w:instrText>risque"</w:instrText>
        </w:r>
        <w:r w:rsidRPr="00EF40BC">
          <w:rPr>
            <w:rStyle w:val="Lienhypertexte"/>
            <w:b/>
            <w:snapToGrid w:val="0"/>
          </w:rPr>
          <w:instrText xml:space="preserve"> </w:instrText>
        </w:r>
        <w:r w:rsidR="0041495B" w:rsidRPr="00EF40BC">
          <w:rPr>
            <w:rStyle w:val="Lienhypertexte"/>
            <w:b/>
            <w:snapToGrid w:val="0"/>
          </w:rPr>
          <w:fldChar w:fldCharType="end"/>
        </w:r>
      </w:hyperlink>
      <w:r w:rsidRPr="0056383D">
        <w:rPr>
          <w:snapToGrid w:val="0"/>
          <w:color w:val="000000"/>
        </w:rPr>
        <w:t xml:space="preserve"> que nous avons déjà signalé lors de l’analyse des missions de la Commission Bancaire et Financière. Ce risque est celui qu’encourent les banques dans leurs engagements de crédit vis-à-vis des pays en voie de développement.</w:t>
      </w:r>
      <w:r>
        <w:rPr>
          <w:snapToGrid w:val="0"/>
          <w:color w:val="000000"/>
        </w:rPr>
        <w:t xml:space="preserve"> Depuis les accords de </w:t>
      </w:r>
      <w:hyperlink r:id="rId94" w:history="1">
        <w:r w:rsidRPr="00EF40BC">
          <w:rPr>
            <w:rStyle w:val="Lienhypertexte"/>
            <w:b/>
            <w:snapToGrid w:val="0"/>
          </w:rPr>
          <w:t>Bâle II</w:t>
        </w:r>
      </w:hyperlink>
      <w:r>
        <w:rPr>
          <w:snapToGrid w:val="0"/>
          <w:color w:val="000000"/>
        </w:rPr>
        <w:t xml:space="preserve">, d’autres risques ont été mis en évidence : le </w:t>
      </w:r>
      <w:r w:rsidRPr="00A55E10">
        <w:rPr>
          <w:b/>
          <w:snapToGrid w:val="0"/>
          <w:color w:val="000000"/>
        </w:rPr>
        <w:t>risque de marché</w:t>
      </w:r>
      <w:r w:rsidR="0041495B">
        <w:rPr>
          <w:b/>
          <w:snapToGrid w:val="0"/>
          <w:color w:val="000000"/>
        </w:rPr>
        <w:fldChar w:fldCharType="begin"/>
      </w:r>
      <w:r>
        <w:instrText xml:space="preserve"> XE "</w:instrText>
      </w:r>
      <w:r w:rsidRPr="004E634B">
        <w:rPr>
          <w:b/>
          <w:snapToGrid w:val="0"/>
          <w:color w:val="000000"/>
        </w:rPr>
        <w:instrText>risque de marché</w:instrText>
      </w:r>
      <w:r>
        <w:instrText xml:space="preserve">" </w:instrText>
      </w:r>
      <w:r w:rsidR="0041495B">
        <w:rPr>
          <w:b/>
          <w:snapToGrid w:val="0"/>
          <w:color w:val="000000"/>
        </w:rPr>
        <w:fldChar w:fldCharType="end"/>
      </w:r>
      <w:r>
        <w:rPr>
          <w:snapToGrid w:val="0"/>
          <w:color w:val="000000"/>
        </w:rPr>
        <w:t xml:space="preserve"> (lié aux fluctuations du marché bancaire international) et le </w:t>
      </w:r>
      <w:r w:rsidRPr="00A55E10">
        <w:rPr>
          <w:b/>
          <w:snapToGrid w:val="0"/>
          <w:color w:val="000000"/>
        </w:rPr>
        <w:t>risque opérationnel</w:t>
      </w:r>
      <w:r w:rsidR="0041495B">
        <w:rPr>
          <w:b/>
          <w:snapToGrid w:val="0"/>
          <w:color w:val="000000"/>
        </w:rPr>
        <w:fldChar w:fldCharType="begin"/>
      </w:r>
      <w:r>
        <w:instrText xml:space="preserve"> XE "</w:instrText>
      </w:r>
      <w:r w:rsidRPr="004B2E32">
        <w:rPr>
          <w:b/>
          <w:snapToGrid w:val="0"/>
          <w:color w:val="000000"/>
        </w:rPr>
        <w:instrText>risque opérationnel</w:instrText>
      </w:r>
      <w:r>
        <w:instrText xml:space="preserve">" </w:instrText>
      </w:r>
      <w:r w:rsidR="0041495B">
        <w:rPr>
          <w:b/>
          <w:snapToGrid w:val="0"/>
          <w:color w:val="000000"/>
        </w:rPr>
        <w:fldChar w:fldCharType="end"/>
      </w:r>
      <w:r>
        <w:rPr>
          <w:snapToGrid w:val="0"/>
          <w:color w:val="000000"/>
        </w:rPr>
        <w:t xml:space="preserve"> (lié à toutes les défaillances internes possibles de la banque).</w:t>
      </w:r>
    </w:p>
    <w:p w14:paraId="0693B4F4" w14:textId="77777777" w:rsidR="00A53617" w:rsidRPr="0056383D" w:rsidRDefault="00A53617" w:rsidP="00A53617">
      <w:pPr>
        <w:spacing w:before="240"/>
        <w:ind w:right="16"/>
        <w:jc w:val="both"/>
        <w:rPr>
          <w:snapToGrid w:val="0"/>
          <w:color w:val="000000"/>
        </w:rPr>
      </w:pPr>
      <w:r w:rsidRPr="0056383D">
        <w:rPr>
          <w:snapToGrid w:val="0"/>
          <w:color w:val="000000"/>
        </w:rPr>
        <w:t xml:space="preserve">Tous ces risques aboutissent à ce que le jargon a appelé </w:t>
      </w:r>
      <w:r w:rsidRPr="0056383D">
        <w:rPr>
          <w:b/>
          <w:snapToGrid w:val="0"/>
          <w:color w:val="000000"/>
        </w:rPr>
        <w:t>l’équation du risque</w:t>
      </w:r>
      <w:r w:rsidR="0041495B" w:rsidRPr="0056383D">
        <w:rPr>
          <w:b/>
          <w:snapToGrid w:val="0"/>
          <w:color w:val="000000"/>
        </w:rPr>
        <w:fldChar w:fldCharType="begin"/>
      </w:r>
      <w:r w:rsidRPr="0056383D">
        <w:rPr>
          <w:b/>
          <w:snapToGrid w:val="0"/>
          <w:color w:val="000000"/>
        </w:rPr>
        <w:instrText xml:space="preserve"> XE "</w:instrText>
      </w:r>
      <w:r w:rsidRPr="0056383D">
        <w:instrText>équation du risque"</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Elle est débattue par le </w:t>
      </w:r>
      <w:r w:rsidRPr="0056383D">
        <w:rPr>
          <w:i/>
          <w:snapToGrid w:val="0"/>
          <w:color w:val="000000"/>
        </w:rPr>
        <w:t>Comité du Risque</w:t>
      </w:r>
      <w:r w:rsidRPr="0056383D">
        <w:rPr>
          <w:snapToGrid w:val="0"/>
          <w:color w:val="000000"/>
        </w:rPr>
        <w:t xml:space="preserve"> qui existe dans toutes les banques. Signalons au passage, outre le Comité (ou Conseil) de Direction déjà mentionné, l’existence également du </w:t>
      </w:r>
      <w:r w:rsidRPr="0056383D">
        <w:rPr>
          <w:i/>
          <w:snapToGrid w:val="0"/>
          <w:color w:val="000000"/>
        </w:rPr>
        <w:t>Comité de Crédit</w:t>
      </w:r>
      <w:r w:rsidRPr="00D94700">
        <w:rPr>
          <w:snapToGrid w:val="0"/>
          <w:position w:val="6"/>
          <w:vertAlign w:val="superscript"/>
        </w:rPr>
        <w:footnoteReference w:id="17"/>
      </w:r>
      <w:r w:rsidRPr="0056383D">
        <w:rPr>
          <w:snapToGrid w:val="0"/>
          <w:color w:val="000000"/>
        </w:rPr>
        <w:t xml:space="preserve"> qui débat, entre autres, des octrois des crédits proprement dit (beaucoup de crédits sont automatiques et ne sont pas portés au Comité de Crédit).</w:t>
      </w:r>
    </w:p>
    <w:p w14:paraId="0693B4F5" w14:textId="77777777" w:rsidR="00A53617" w:rsidRPr="0056383D" w:rsidRDefault="00A53617" w:rsidP="00A53617">
      <w:pPr>
        <w:ind w:right="16"/>
        <w:jc w:val="both"/>
        <w:rPr>
          <w:snapToGrid w:val="0"/>
          <w:color w:val="000000"/>
        </w:rPr>
      </w:pPr>
      <w:r w:rsidRPr="0056383D">
        <w:rPr>
          <w:snapToGrid w:val="0"/>
          <w:color w:val="000000"/>
        </w:rPr>
        <w:t>Ainsi nous avons, dans l’ordre, le Comité du Risque qui établit l’équation du risque</w:t>
      </w:r>
      <w:r w:rsidR="0041495B" w:rsidRPr="0056383D">
        <w:rPr>
          <w:snapToGrid w:val="0"/>
          <w:color w:val="000000"/>
        </w:rPr>
        <w:fldChar w:fldCharType="begin"/>
      </w:r>
      <w:r w:rsidRPr="0056383D">
        <w:rPr>
          <w:snapToGrid w:val="0"/>
          <w:color w:val="000000"/>
        </w:rPr>
        <w:instrText xml:space="preserve"> XE "</w:instrText>
      </w:r>
      <w:r w:rsidRPr="0056383D">
        <w:instrText>équation du risque"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et constitue un dossier par demande de crédit, à la suite de quoi les dossiers sont transmis et débattus en Comité du Crédit.</w:t>
      </w:r>
    </w:p>
    <w:p w14:paraId="0693B4F6" w14:textId="77777777" w:rsidR="00A53617" w:rsidRPr="0056383D" w:rsidRDefault="00A53617" w:rsidP="00A53617">
      <w:pPr>
        <w:ind w:right="16"/>
        <w:jc w:val="both"/>
        <w:rPr>
          <w:snapToGrid w:val="0"/>
          <w:color w:val="000000"/>
        </w:rPr>
      </w:pPr>
      <w:r w:rsidRPr="0056383D">
        <w:rPr>
          <w:snapToGrid w:val="0"/>
          <w:color w:val="000000"/>
        </w:rPr>
        <w:t xml:space="preserve">Les crédits qui ne sont pas débattus en Comité de Crédit sont par exemple les crédits relevant du </w:t>
      </w:r>
      <w:r w:rsidRPr="0056383D">
        <w:rPr>
          <w:b/>
          <w:snapToGrid w:val="0"/>
          <w:color w:val="000000"/>
        </w:rPr>
        <w:t>credit scoring</w:t>
      </w:r>
      <w:r w:rsidR="0041495B" w:rsidRPr="0056383D">
        <w:rPr>
          <w:b/>
          <w:snapToGrid w:val="0"/>
          <w:color w:val="000000"/>
        </w:rPr>
        <w:fldChar w:fldCharType="begin"/>
      </w:r>
      <w:r w:rsidRPr="0056383D">
        <w:rPr>
          <w:b/>
          <w:snapToGrid w:val="0"/>
          <w:color w:val="000000"/>
        </w:rPr>
        <w:instrText xml:space="preserve"> XE "</w:instrText>
      </w:r>
      <w:r w:rsidRPr="0056383D">
        <w:instrText>credit scoring"</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Il s’agit d’un type de crédit automatisé qui, comme son nom l’indique, est octroyé en fonction de la somme des points obtenus dans chaque rubrique d’un formulaire standardisé. Exemple d’utilisation du credit scoring : le crédit aux particuliers (ex </w:t>
      </w:r>
      <w:r w:rsidRPr="0056383D">
        <w:rPr>
          <w:i/>
          <w:snapToGrid w:val="0"/>
          <w:color w:val="000000"/>
        </w:rPr>
        <w:t>crédit à la consommation</w:t>
      </w:r>
      <w:r w:rsidRPr="0056383D">
        <w:rPr>
          <w:snapToGrid w:val="0"/>
          <w:color w:val="000000"/>
        </w:rPr>
        <w:t>,  voir ci-dessous).</w:t>
      </w:r>
    </w:p>
    <w:p w14:paraId="0693B4F7" w14:textId="77777777" w:rsidR="00A53617" w:rsidRPr="0056383D" w:rsidRDefault="00A53617" w:rsidP="00A53617">
      <w:pPr>
        <w:spacing w:before="240"/>
        <w:ind w:right="16"/>
        <w:jc w:val="both"/>
        <w:rPr>
          <w:snapToGrid w:val="0"/>
          <w:color w:val="000000"/>
        </w:rPr>
      </w:pPr>
    </w:p>
    <w:p w14:paraId="0693B4F8" w14:textId="77777777" w:rsidR="00A53617" w:rsidRPr="0056383D" w:rsidRDefault="00A53617" w:rsidP="00E101C5">
      <w:pPr>
        <w:rPr>
          <w:snapToGrid w:val="0"/>
        </w:rPr>
      </w:pPr>
      <w:bookmarkStart w:id="112" w:name="_Toc189380900"/>
      <w:r w:rsidRPr="0056383D">
        <w:rPr>
          <w:snapToGrid w:val="0"/>
        </w:rPr>
        <w:t xml:space="preserve">Voyons à présent </w:t>
      </w:r>
      <w:r w:rsidRPr="00E101C5">
        <w:rPr>
          <w:b/>
          <w:snapToGrid w:val="0"/>
        </w:rPr>
        <w:t>les critères d’octroi</w:t>
      </w:r>
      <w:r w:rsidRPr="0056383D">
        <w:rPr>
          <w:snapToGrid w:val="0"/>
        </w:rPr>
        <w:t xml:space="preserve"> du crédit</w:t>
      </w:r>
      <w:r w:rsidR="0041495B">
        <w:rPr>
          <w:snapToGrid w:val="0"/>
        </w:rPr>
        <w:fldChar w:fldCharType="begin"/>
      </w:r>
      <w:r>
        <w:instrText xml:space="preserve"> TC "</w:instrText>
      </w:r>
      <w:bookmarkStart w:id="113" w:name="_Toc189382505"/>
      <w:bookmarkStart w:id="114" w:name="_Toc189382896"/>
      <w:bookmarkStart w:id="115" w:name="_Toc189383110"/>
      <w:bookmarkStart w:id="116" w:name="_Toc189383203"/>
      <w:bookmarkStart w:id="117" w:name="_Toc192996370"/>
      <w:bookmarkStart w:id="118" w:name="_Toc279042791"/>
      <w:r w:rsidRPr="00CC68E0">
        <w:rPr>
          <w:snapToGrid w:val="0"/>
        </w:rPr>
        <w:instrText>critères d’octroi du crédit</w:instrText>
      </w:r>
      <w:bookmarkEnd w:id="113"/>
      <w:bookmarkEnd w:id="114"/>
      <w:bookmarkEnd w:id="115"/>
      <w:bookmarkEnd w:id="116"/>
      <w:bookmarkEnd w:id="117"/>
      <w:bookmarkEnd w:id="118"/>
      <w:r>
        <w:instrText xml:space="preserve">" \f C \l "3" </w:instrText>
      </w:r>
      <w:r w:rsidR="0041495B">
        <w:rPr>
          <w:snapToGrid w:val="0"/>
        </w:rPr>
        <w:fldChar w:fldCharType="end"/>
      </w:r>
      <w:r w:rsidRPr="0056383D">
        <w:rPr>
          <w:snapToGrid w:val="0"/>
        </w:rPr>
        <w:t>.</w:t>
      </w:r>
      <w:bookmarkEnd w:id="112"/>
    </w:p>
    <w:p w14:paraId="0693B4F9" w14:textId="77777777" w:rsidR="00A53617" w:rsidRPr="0056383D" w:rsidRDefault="00A53617" w:rsidP="00A53617">
      <w:pPr>
        <w:ind w:right="16"/>
        <w:jc w:val="both"/>
        <w:rPr>
          <w:snapToGrid w:val="0"/>
          <w:color w:val="000000"/>
        </w:rPr>
      </w:pPr>
      <w:r w:rsidRPr="0056383D">
        <w:rPr>
          <w:snapToGrid w:val="0"/>
          <w:color w:val="000000"/>
        </w:rPr>
        <w:t>Comme partout et toujours, il faut que le banquier récolte le maximum d’informations disponibles sur l’emprunteur, personne physique ou morale.</w:t>
      </w:r>
    </w:p>
    <w:p w14:paraId="0693B4FA" w14:textId="77777777" w:rsidR="00A53617" w:rsidRPr="0056383D" w:rsidRDefault="00A53617" w:rsidP="00C25C8C">
      <w:pPr>
        <w:numPr>
          <w:ilvl w:val="0"/>
          <w:numId w:val="22"/>
        </w:numPr>
        <w:spacing w:before="240"/>
        <w:ind w:right="16"/>
        <w:jc w:val="both"/>
        <w:rPr>
          <w:snapToGrid w:val="0"/>
          <w:color w:val="000000"/>
        </w:rPr>
      </w:pPr>
      <w:r w:rsidRPr="0056383D">
        <w:rPr>
          <w:snapToGrid w:val="0"/>
          <w:color w:val="000000"/>
        </w:rPr>
        <w:t xml:space="preserve">Après avoir étudié </w:t>
      </w:r>
      <w:r w:rsidRPr="0056383D">
        <w:rPr>
          <w:b/>
          <w:snapToGrid w:val="0"/>
          <w:color w:val="000000"/>
        </w:rPr>
        <w:t>tous les documents</w:t>
      </w:r>
      <w:r w:rsidRPr="0056383D">
        <w:rPr>
          <w:snapToGrid w:val="0"/>
          <w:color w:val="000000"/>
        </w:rPr>
        <w:t xml:space="preserve"> glanés ça et là à propos de l’entreprise (ou de l’individu) en question, il convient de se rendre sur les lieux mêmes de l’entreprise. Comment est-elle équipée ? A quoi servira l’investissement ? Que rapportera-t-il ? Quels seront ses effets sur l’endettement de la société ? Comment la société calcule-t-elle son prix de revient ? Comment sont organisés son service achat et son service vente ? Quels sont ses fournisseurs ? Ses clients ? Que vend l’entreprise ? Où en est son carnet de commandes ? Qu’en est-il de la comptabilité de cette entreprise ? Quel est son plan de développement ? Qui prend vraiment les décisions ? Quel est son break-even point ? Etc.</w:t>
      </w:r>
    </w:p>
    <w:p w14:paraId="0693B4FB" w14:textId="77777777" w:rsidR="00A53617" w:rsidRPr="0056383D" w:rsidRDefault="00A53617" w:rsidP="00C25C8C">
      <w:pPr>
        <w:numPr>
          <w:ilvl w:val="0"/>
          <w:numId w:val="22"/>
        </w:numPr>
        <w:spacing w:before="240"/>
        <w:ind w:right="16"/>
        <w:jc w:val="both"/>
        <w:rPr>
          <w:snapToGrid w:val="0"/>
          <w:color w:val="000000"/>
        </w:rPr>
      </w:pPr>
      <w:r w:rsidRPr="0056383D">
        <w:rPr>
          <w:snapToGrid w:val="0"/>
          <w:color w:val="000000"/>
        </w:rPr>
        <w:t xml:space="preserve">Il  convient, on s’en sera aperçu, de se livrer, dans le chef du banquier, à un véritable </w:t>
      </w:r>
      <w:r w:rsidRPr="0056383D">
        <w:rPr>
          <w:b/>
          <w:snapToGrid w:val="0"/>
          <w:color w:val="000000"/>
        </w:rPr>
        <w:t>audit stratégique, fonctionnel et organique</w:t>
      </w:r>
      <w:r w:rsidRPr="0056383D">
        <w:rPr>
          <w:snapToGrid w:val="0"/>
          <w:color w:val="000000"/>
        </w:rPr>
        <w:t xml:space="preserve"> de l’entreprise, de manière à aboutir à une </w:t>
      </w:r>
      <w:r w:rsidRPr="0056383D">
        <w:rPr>
          <w:b/>
          <w:i/>
          <w:snapToGrid w:val="0"/>
          <w:color w:val="000000"/>
        </w:rPr>
        <w:t>radiographie</w:t>
      </w:r>
      <w:r w:rsidRPr="0056383D">
        <w:rPr>
          <w:snapToGrid w:val="0"/>
          <w:color w:val="000000"/>
        </w:rPr>
        <w:t xml:space="preserve"> de la société.</w:t>
      </w:r>
    </w:p>
    <w:p w14:paraId="0693B4FC" w14:textId="77777777" w:rsidR="00A53617" w:rsidRPr="0056383D" w:rsidRDefault="00A53617" w:rsidP="00C25C8C">
      <w:pPr>
        <w:numPr>
          <w:ilvl w:val="0"/>
          <w:numId w:val="22"/>
        </w:numPr>
        <w:spacing w:before="240"/>
        <w:ind w:right="16"/>
        <w:jc w:val="both"/>
        <w:rPr>
          <w:snapToGrid w:val="0"/>
          <w:color w:val="000000"/>
        </w:rPr>
      </w:pPr>
      <w:r w:rsidRPr="0056383D">
        <w:rPr>
          <w:snapToGrid w:val="0"/>
          <w:color w:val="000000"/>
        </w:rPr>
        <w:t xml:space="preserve">L’autre grande famille de critères d’appréciation est l’analyse de la </w:t>
      </w:r>
      <w:r w:rsidRPr="0056383D">
        <w:rPr>
          <w:b/>
          <w:snapToGrid w:val="0"/>
          <w:color w:val="000000"/>
        </w:rPr>
        <w:t>solvabilité de l’emprunteur</w:t>
      </w:r>
      <w:r w:rsidRPr="0056383D">
        <w:rPr>
          <w:snapToGrid w:val="0"/>
          <w:color w:val="000000"/>
        </w:rPr>
        <w:t>. Quelle est sa capacité de remboursement (à déduire de l’analyse prévisionnelle sur base des comptes de résultat) ? Quelle est sa volonté de remboursement ? Quel est son besoin en fonds de roulement</w:t>
      </w:r>
      <w:r w:rsidRPr="00D94700">
        <w:rPr>
          <w:snapToGrid w:val="0"/>
          <w:position w:val="6"/>
          <w:vertAlign w:val="superscript"/>
        </w:rPr>
        <w:footnoteReference w:id="18"/>
      </w:r>
      <w:r w:rsidRPr="0056383D">
        <w:rPr>
          <w:snapToGrid w:val="0"/>
          <w:color w:val="000000"/>
        </w:rPr>
        <w:t> ?</w:t>
      </w:r>
    </w:p>
    <w:p w14:paraId="0693B4FD" w14:textId="77777777" w:rsidR="00A53617" w:rsidRPr="0056383D" w:rsidRDefault="00A53617" w:rsidP="00C25C8C">
      <w:pPr>
        <w:numPr>
          <w:ilvl w:val="0"/>
          <w:numId w:val="22"/>
        </w:numPr>
        <w:spacing w:before="240"/>
        <w:ind w:right="16"/>
        <w:jc w:val="both"/>
        <w:rPr>
          <w:snapToGrid w:val="0"/>
          <w:color w:val="000000"/>
        </w:rPr>
      </w:pPr>
      <w:r w:rsidRPr="0056383D">
        <w:rPr>
          <w:snapToGrid w:val="0"/>
          <w:color w:val="000000"/>
        </w:rPr>
        <w:lastRenderedPageBreak/>
        <w:t xml:space="preserve">Autre type de critères : les </w:t>
      </w:r>
      <w:r w:rsidRPr="0056383D">
        <w:rPr>
          <w:b/>
          <w:snapToGrid w:val="0"/>
          <w:color w:val="000000"/>
        </w:rPr>
        <w:t>obligations réglementaires</w:t>
      </w:r>
      <w:r w:rsidRPr="0056383D">
        <w:rPr>
          <w:snapToGrid w:val="0"/>
          <w:color w:val="000000"/>
        </w:rPr>
        <w:t xml:space="preserve"> en matière bancaire. Nous n’y reviendrons pas puisque toute cette partie a été décrite lors de l’analyse de la Commission Bancaire et Financière et de la Banque Nationale</w:t>
      </w:r>
      <w:r w:rsidR="0041495B" w:rsidRPr="0056383D">
        <w:rPr>
          <w:snapToGrid w:val="0"/>
          <w:color w:val="000000"/>
        </w:rPr>
        <w:fldChar w:fldCharType="begin"/>
      </w:r>
      <w:r w:rsidRPr="0056383D">
        <w:rPr>
          <w:snapToGrid w:val="0"/>
          <w:color w:val="000000"/>
        </w:rPr>
        <w:instrText xml:space="preserve"> XE "</w:instrText>
      </w:r>
      <w:r w:rsidRPr="0056383D">
        <w:instrText>Banque Nationale"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La banque est en effet tenue de se soumettre à la législation et aux multiples contrôles obligatoires (Cf. coefficients de structure</w:t>
      </w:r>
      <w:r w:rsidR="0041495B" w:rsidRPr="0056383D">
        <w:rPr>
          <w:snapToGrid w:val="0"/>
          <w:color w:val="000000"/>
        </w:rPr>
        <w:fldChar w:fldCharType="begin"/>
      </w:r>
      <w:r w:rsidRPr="0056383D">
        <w:rPr>
          <w:snapToGrid w:val="0"/>
          <w:color w:val="000000"/>
        </w:rPr>
        <w:instrText xml:space="preserve"> XE "</w:instrText>
      </w:r>
      <w:r w:rsidRPr="0056383D">
        <w:instrText>coefficients de structure"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w:t>
      </w:r>
    </w:p>
    <w:p w14:paraId="0693B4FE" w14:textId="77777777" w:rsidR="00A53617" w:rsidRPr="0056383D" w:rsidRDefault="00A53617" w:rsidP="00C25C8C">
      <w:pPr>
        <w:numPr>
          <w:ilvl w:val="0"/>
          <w:numId w:val="22"/>
        </w:numPr>
        <w:spacing w:before="240"/>
        <w:ind w:right="16"/>
        <w:jc w:val="both"/>
        <w:rPr>
          <w:snapToGrid w:val="0"/>
          <w:color w:val="000000"/>
        </w:rPr>
      </w:pPr>
      <w:r w:rsidRPr="0056383D">
        <w:rPr>
          <w:snapToGrid w:val="0"/>
          <w:color w:val="000000"/>
        </w:rPr>
        <w:t xml:space="preserve">Enfin, en dernier lieu viennent les critères relatifs aux </w:t>
      </w:r>
      <w:r w:rsidRPr="0056383D">
        <w:rPr>
          <w:b/>
          <w:snapToGrid w:val="0"/>
          <w:color w:val="000000"/>
        </w:rPr>
        <w:t>garanties</w:t>
      </w:r>
      <w:r w:rsidRPr="0056383D">
        <w:rPr>
          <w:snapToGrid w:val="0"/>
          <w:color w:val="000000"/>
        </w:rPr>
        <w:t xml:space="preserve"> offertes par l’emprunteur.</w:t>
      </w:r>
    </w:p>
    <w:p w14:paraId="0693B4FF" w14:textId="77777777" w:rsidR="00A53617" w:rsidRPr="0056383D" w:rsidRDefault="00A53617" w:rsidP="00A53617">
      <w:pPr>
        <w:spacing w:before="480"/>
        <w:ind w:right="17"/>
        <w:jc w:val="both"/>
        <w:rPr>
          <w:snapToGrid w:val="0"/>
          <w:color w:val="000000"/>
        </w:rPr>
      </w:pPr>
      <w:r w:rsidRPr="0056383D">
        <w:rPr>
          <w:snapToGrid w:val="0"/>
          <w:color w:val="000000"/>
        </w:rPr>
        <w:t>Pour être complet, avouons qu’en dépit de tous les renseignements récoltés, il reste toujours une part de subjectivité. Ainsi, quand bien même tous les critères seraient positifs, le Comité du Risque peut fort bien décider de ne finalement pas octroyer le crédit.</w:t>
      </w:r>
    </w:p>
    <w:p w14:paraId="0693B500" w14:textId="77777777" w:rsidR="00A53617" w:rsidRPr="0056383D" w:rsidRDefault="00A53617" w:rsidP="00A53617">
      <w:pPr>
        <w:spacing w:before="240"/>
        <w:ind w:right="16"/>
        <w:jc w:val="both"/>
        <w:rPr>
          <w:snapToGrid w:val="0"/>
          <w:color w:val="000000"/>
        </w:rPr>
      </w:pPr>
    </w:p>
    <w:p w14:paraId="0693B501" w14:textId="77777777" w:rsidR="00A53617" w:rsidRPr="0056383D" w:rsidRDefault="00A53617" w:rsidP="00A53617">
      <w:pPr>
        <w:spacing w:before="240"/>
        <w:ind w:right="16"/>
        <w:jc w:val="both"/>
        <w:rPr>
          <w:snapToGrid w:val="0"/>
          <w:color w:val="000000"/>
        </w:rPr>
      </w:pPr>
      <w:r w:rsidRPr="0056383D">
        <w:rPr>
          <w:snapToGrid w:val="0"/>
          <w:color w:val="000000"/>
        </w:rPr>
        <w:t xml:space="preserve">Sans entrer dans les détails, la </w:t>
      </w:r>
      <w:r w:rsidRPr="0056383D">
        <w:rPr>
          <w:b/>
          <w:snapToGrid w:val="0"/>
          <w:color w:val="000000"/>
          <w:sz w:val="28"/>
        </w:rPr>
        <w:t>politique de crédit</w:t>
      </w:r>
      <w:r w:rsidR="0041495B">
        <w:rPr>
          <w:b/>
          <w:snapToGrid w:val="0"/>
          <w:color w:val="000000"/>
          <w:sz w:val="28"/>
        </w:rPr>
        <w:fldChar w:fldCharType="begin"/>
      </w:r>
      <w:r>
        <w:instrText xml:space="preserve"> TC "</w:instrText>
      </w:r>
      <w:bookmarkStart w:id="119" w:name="_Toc189382506"/>
      <w:bookmarkStart w:id="120" w:name="_Toc189382897"/>
      <w:bookmarkStart w:id="121" w:name="_Toc189383111"/>
      <w:bookmarkStart w:id="122" w:name="_Toc189383204"/>
      <w:bookmarkStart w:id="123" w:name="_Toc192996371"/>
      <w:bookmarkStart w:id="124" w:name="_Toc279042792"/>
      <w:r w:rsidRPr="00804A2A">
        <w:rPr>
          <w:b/>
          <w:snapToGrid w:val="0"/>
          <w:color w:val="000000"/>
          <w:sz w:val="28"/>
        </w:rPr>
        <w:instrText>politique de crédit</w:instrText>
      </w:r>
      <w:bookmarkEnd w:id="119"/>
      <w:bookmarkEnd w:id="120"/>
      <w:bookmarkEnd w:id="121"/>
      <w:bookmarkEnd w:id="122"/>
      <w:bookmarkEnd w:id="123"/>
      <w:bookmarkEnd w:id="124"/>
      <w:r>
        <w:instrText xml:space="preserve">" \f C \l "3" </w:instrText>
      </w:r>
      <w:r w:rsidR="0041495B">
        <w:rPr>
          <w:b/>
          <w:snapToGrid w:val="0"/>
          <w:color w:val="000000"/>
          <w:sz w:val="28"/>
        </w:rPr>
        <w:fldChar w:fldCharType="end"/>
      </w:r>
      <w:r w:rsidRPr="0056383D">
        <w:rPr>
          <w:snapToGrid w:val="0"/>
          <w:color w:val="000000"/>
        </w:rPr>
        <w:t xml:space="preserve"> se base sur le constat suivant : pour acheter un immeuble, par exemple, il est absurde de demander un crédit sous la forme de crédit de caisse ou de découvert en compte car le coût élevé de ce type de crédit est rédhibitoire par rapport à la somme à investir. Ce type de crédit (voir ci-dessous) se justifie pour des montants relativement peu élevés, provenants, par exemple, d’un manque momentané de trésorerie.</w:t>
      </w:r>
    </w:p>
    <w:p w14:paraId="0693B502" w14:textId="77777777" w:rsidR="00A53617" w:rsidRPr="0056383D" w:rsidRDefault="00A53617" w:rsidP="00A53617">
      <w:pPr>
        <w:ind w:right="16"/>
        <w:jc w:val="both"/>
        <w:rPr>
          <w:snapToGrid w:val="0"/>
          <w:color w:val="000000"/>
        </w:rPr>
      </w:pPr>
      <w:r w:rsidRPr="0056383D">
        <w:rPr>
          <w:snapToGrid w:val="0"/>
          <w:color w:val="000000"/>
        </w:rPr>
        <w:t>Autrement dit, le simple bon sens suggère de rechercher des ressources (des crédits) en rapport avec les actifs que l’on désire s’approprier. Pour le comptable, il “ suffit ” d’aller voir dans le bilan où se situe cet actif et de voir “ en face ”, au passif, à quel type (quel terme) de dette se rapporte cet actif. Dans notre exemple, on verra ainsi qu’il vaut certainement mieux recourir à une augmentation de capital ou à un emprunt pour financer l’achat d’un immeuble. Par contre s’il s’était agit de renflouer la caisse par exemple, un découvert en compte ou un crédit de caisse se seraient justifiés.</w:t>
      </w:r>
    </w:p>
    <w:p w14:paraId="0693B503" w14:textId="77777777" w:rsidR="00A53617" w:rsidRPr="0056383D" w:rsidRDefault="00A53617" w:rsidP="00A53617">
      <w:pPr>
        <w:spacing w:before="240"/>
        <w:ind w:right="16"/>
        <w:jc w:val="both"/>
        <w:rPr>
          <w:snapToGrid w:val="0"/>
          <w:color w:val="000000"/>
        </w:rPr>
      </w:pPr>
      <w:r w:rsidRPr="0056383D">
        <w:rPr>
          <w:snapToGrid w:val="0"/>
          <w:color w:val="000000"/>
        </w:rPr>
        <w:t xml:space="preserve">Notons qu’il est possible de “ liquéfier ” un actif, et par conséquent de le financer par une dette à plus court terme que la normale. C’est le cas du </w:t>
      </w:r>
      <w:r w:rsidRPr="0056383D">
        <w:rPr>
          <w:b/>
          <w:snapToGrid w:val="0"/>
          <w:color w:val="000000"/>
        </w:rPr>
        <w:t>leasing</w:t>
      </w:r>
      <w:r w:rsidR="0041495B" w:rsidRPr="0056383D">
        <w:rPr>
          <w:b/>
          <w:snapToGrid w:val="0"/>
          <w:color w:val="000000"/>
        </w:rPr>
        <w:fldChar w:fldCharType="begin"/>
      </w:r>
      <w:r w:rsidRPr="0056383D">
        <w:rPr>
          <w:b/>
          <w:snapToGrid w:val="0"/>
          <w:color w:val="000000"/>
        </w:rPr>
        <w:instrText xml:space="preserve"> XE "</w:instrText>
      </w:r>
      <w:r w:rsidRPr="0056383D">
        <w:instrText>leasing"</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par exemple.</w:t>
      </w:r>
    </w:p>
    <w:p w14:paraId="0693B504" w14:textId="77777777" w:rsidR="00A53617" w:rsidRPr="0056383D" w:rsidRDefault="00A53617" w:rsidP="00A53617">
      <w:pPr>
        <w:ind w:right="16"/>
        <w:jc w:val="both"/>
        <w:rPr>
          <w:snapToGrid w:val="0"/>
          <w:color w:val="000000"/>
        </w:rPr>
      </w:pPr>
      <w:r w:rsidRPr="0056383D">
        <w:rPr>
          <w:snapToGrid w:val="0"/>
          <w:color w:val="000000"/>
        </w:rPr>
        <w:t xml:space="preserve">Inversement, il est possible d’augmenter le terme d’une dette, de manière à diminuer le coût actualisé de la dette. Ce sera par exemple le cas si l’entreprise procède à une augmentation de capital par </w:t>
      </w:r>
      <w:r w:rsidRPr="0056383D">
        <w:rPr>
          <w:b/>
          <w:snapToGrid w:val="0"/>
          <w:color w:val="000000"/>
        </w:rPr>
        <w:t>incorporation des dettes</w:t>
      </w:r>
      <w:r w:rsidRPr="0056383D">
        <w:rPr>
          <w:snapToGrid w:val="0"/>
          <w:color w:val="000000"/>
        </w:rPr>
        <w:t xml:space="preserve"> vis-à-vis de ses fournisseurs. </w:t>
      </w:r>
      <w:r w:rsidRPr="0056383D">
        <w:rPr>
          <w:i/>
          <w:snapToGrid w:val="0"/>
          <w:color w:val="000000"/>
        </w:rPr>
        <w:t>C’est ce que l’on appelle consolider la dette.</w:t>
      </w:r>
    </w:p>
    <w:p w14:paraId="0693B505" w14:textId="77777777" w:rsidR="00A53617" w:rsidRDefault="00A53617" w:rsidP="00A53617">
      <w:pPr>
        <w:ind w:right="16"/>
        <w:jc w:val="both"/>
        <w:rPr>
          <w:snapToGrid w:val="0"/>
          <w:color w:val="000000"/>
        </w:rPr>
      </w:pPr>
      <w:r w:rsidRPr="0056383D">
        <w:rPr>
          <w:snapToGrid w:val="0"/>
          <w:color w:val="000000"/>
        </w:rPr>
        <w:t xml:space="preserve">Par ces deux techniques complémentaires visant à diminuer le coût du capital de l’entreprise, l’on constate que la règle de bons sens énoncée ci-dessus jouit d’une </w:t>
      </w:r>
      <w:r w:rsidRPr="0056383D">
        <w:rPr>
          <w:i/>
          <w:snapToGrid w:val="0"/>
          <w:color w:val="000000"/>
        </w:rPr>
        <w:t>souplesse</w:t>
      </w:r>
      <w:r w:rsidRPr="0056383D">
        <w:rPr>
          <w:snapToGrid w:val="0"/>
          <w:color w:val="000000"/>
        </w:rPr>
        <w:t xml:space="preserve"> plus grande qu’il ne paraît à première vue. Malheureusement cette souplesse est trop peu exploitée.</w:t>
      </w:r>
    </w:p>
    <w:p w14:paraId="0693B506" w14:textId="77777777" w:rsidR="00A53617" w:rsidRDefault="00FB0892" w:rsidP="00A53617">
      <w:pPr>
        <w:spacing w:before="240"/>
        <w:ind w:right="16"/>
        <w:jc w:val="center"/>
      </w:pPr>
      <w:r>
        <w:rPr>
          <w:noProof/>
          <w:lang w:eastAsia="fr-BE"/>
        </w:rPr>
        <w:lastRenderedPageBreak/>
        <w:drawing>
          <wp:inline distT="0" distB="0" distL="0" distR="0" wp14:anchorId="0693BAD8" wp14:editId="0693BAD9">
            <wp:extent cx="5753100" cy="3390900"/>
            <wp:effectExtent l="38100" t="38100" r="38100" b="38100"/>
            <wp:docPr id="12" name="Image 12"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mériser0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w="28575" cmpd="sng">
                      <a:solidFill>
                        <a:srgbClr val="000000"/>
                      </a:solidFill>
                      <a:miter lim="800000"/>
                      <a:headEnd/>
                      <a:tailEnd/>
                    </a:ln>
                    <a:effectLst/>
                  </pic:spPr>
                </pic:pic>
              </a:graphicData>
            </a:graphic>
          </wp:inline>
        </w:drawing>
      </w:r>
    </w:p>
    <w:p w14:paraId="0693B507" w14:textId="77777777" w:rsidR="00A53617" w:rsidRPr="00193FF0" w:rsidRDefault="00A53617" w:rsidP="00A53617">
      <w:pPr>
        <w:ind w:right="16"/>
        <w:jc w:val="center"/>
        <w:rPr>
          <w:snapToGrid w:val="0"/>
          <w:color w:val="000000"/>
        </w:rPr>
      </w:pPr>
      <w:r w:rsidRPr="00193FF0">
        <w:t>BAISIR, COUSIN, DAIVIER, Connaissances de gestion, LABOR, Bruxelles, 1990, p.</w:t>
      </w:r>
      <w:r>
        <w:t> 214</w:t>
      </w:r>
    </w:p>
    <w:p w14:paraId="0693B508" w14:textId="77777777" w:rsidR="00A53617" w:rsidRPr="0056383D" w:rsidRDefault="00A53617" w:rsidP="00A53617">
      <w:pPr>
        <w:ind w:right="16"/>
        <w:jc w:val="both"/>
        <w:rPr>
          <w:snapToGrid w:val="0"/>
          <w:color w:val="000000"/>
        </w:rPr>
      </w:pPr>
    </w:p>
    <w:p w14:paraId="0693B509" w14:textId="77777777" w:rsidR="00827B89" w:rsidRPr="0056383D" w:rsidRDefault="00827B89" w:rsidP="00105A84">
      <w:pPr>
        <w:pStyle w:val="Titre2"/>
      </w:pPr>
      <w:bookmarkStart w:id="125" w:name="_Toc189380933"/>
      <w:bookmarkStart w:id="126" w:name="_Toc482815596"/>
      <w:r w:rsidRPr="0056383D">
        <w:t>Les garanties : réelles, personnelles, morales</w:t>
      </w:r>
      <w:bookmarkEnd w:id="125"/>
      <w:bookmarkEnd w:id="126"/>
      <w:r w:rsidR="0041495B">
        <w:fldChar w:fldCharType="begin"/>
      </w:r>
      <w:r>
        <w:instrText xml:space="preserve"> TC "</w:instrText>
      </w:r>
      <w:bookmarkStart w:id="127" w:name="_Toc189382518"/>
      <w:bookmarkStart w:id="128" w:name="_Toc189382909"/>
      <w:bookmarkStart w:id="129" w:name="_Toc189383123"/>
      <w:bookmarkStart w:id="130" w:name="_Toc189383216"/>
      <w:bookmarkStart w:id="131" w:name="_Toc192996383"/>
      <w:bookmarkStart w:id="132" w:name="_Toc279042804"/>
      <w:r w:rsidRPr="004F1766">
        <w:instrText>3.6. Les garanties : réelles, personnelles, morales</w:instrText>
      </w:r>
      <w:bookmarkEnd w:id="127"/>
      <w:bookmarkEnd w:id="128"/>
      <w:bookmarkEnd w:id="129"/>
      <w:bookmarkEnd w:id="130"/>
      <w:bookmarkEnd w:id="131"/>
      <w:bookmarkEnd w:id="132"/>
      <w:r>
        <w:instrText xml:space="preserve">" \f C \l "2" </w:instrText>
      </w:r>
      <w:r w:rsidR="0041495B">
        <w:fldChar w:fldCharType="end"/>
      </w:r>
    </w:p>
    <w:p w14:paraId="0693B50A" w14:textId="77777777" w:rsidR="00827B89" w:rsidRPr="0056383D" w:rsidRDefault="00827B89" w:rsidP="00827B89">
      <w:pPr>
        <w:spacing w:before="480"/>
        <w:ind w:right="17"/>
        <w:jc w:val="both"/>
        <w:rPr>
          <w:snapToGrid w:val="0"/>
          <w:color w:val="000000"/>
        </w:rPr>
      </w:pPr>
      <w:r w:rsidRPr="0056383D">
        <w:rPr>
          <w:snapToGrid w:val="0"/>
          <w:color w:val="000000"/>
        </w:rPr>
        <w:t>Avant de détailler les différentes garanties, il est important de rappeler que les crédits ne sont pas tous garantis. Beaucoup d’entre eux au contraire sont octroyés sur notoriété, c’</w:t>
      </w:r>
      <w:r w:rsidR="00D75C68">
        <w:rPr>
          <w:snapToGrid w:val="0"/>
          <w:color w:val="000000"/>
        </w:rPr>
        <w:t>est-à-dire sur la confiance qu’a</w:t>
      </w:r>
      <w:r w:rsidRPr="0056383D">
        <w:rPr>
          <w:snapToGrid w:val="0"/>
          <w:color w:val="000000"/>
        </w:rPr>
        <w:t xml:space="preserve"> le banquier en l’emprunteur, suite à l’analyse de toute la documentation et autres critères d’octroi de crédit tels que nous les avons étudiés précédemment. Le crédit sur notoriété est d’ailleurs le seul qui corresponde au sens premier du mot crédit.</w:t>
      </w:r>
    </w:p>
    <w:p w14:paraId="0693B50B" w14:textId="77777777" w:rsidR="00827B89" w:rsidRPr="0056383D" w:rsidRDefault="00827B89" w:rsidP="00827B89">
      <w:pPr>
        <w:spacing w:before="480"/>
        <w:ind w:right="17"/>
        <w:jc w:val="both"/>
        <w:rPr>
          <w:snapToGrid w:val="0"/>
          <w:color w:val="000000"/>
        </w:rPr>
      </w:pPr>
      <w:r w:rsidRPr="0056383D">
        <w:rPr>
          <w:snapToGrid w:val="0"/>
          <w:color w:val="000000"/>
        </w:rPr>
        <w:t xml:space="preserve">Les </w:t>
      </w:r>
      <w:r w:rsidRPr="0056383D">
        <w:rPr>
          <w:b/>
          <w:snapToGrid w:val="0"/>
          <w:color w:val="000000"/>
          <w:sz w:val="28"/>
        </w:rPr>
        <w:t>garanties réelles</w:t>
      </w:r>
      <w:r w:rsidR="0041495B">
        <w:rPr>
          <w:b/>
          <w:snapToGrid w:val="0"/>
          <w:color w:val="000000"/>
          <w:sz w:val="28"/>
        </w:rPr>
        <w:fldChar w:fldCharType="begin"/>
      </w:r>
      <w:r>
        <w:instrText xml:space="preserve"> TC "</w:instrText>
      </w:r>
      <w:bookmarkStart w:id="133" w:name="_Toc189382519"/>
      <w:bookmarkStart w:id="134" w:name="_Toc189382910"/>
      <w:bookmarkStart w:id="135" w:name="_Toc189383124"/>
      <w:bookmarkStart w:id="136" w:name="_Toc189383217"/>
      <w:bookmarkStart w:id="137" w:name="_Toc192996384"/>
      <w:bookmarkStart w:id="138" w:name="_Toc279042805"/>
      <w:r w:rsidRPr="00E260DA">
        <w:rPr>
          <w:b/>
          <w:snapToGrid w:val="0"/>
          <w:color w:val="000000"/>
          <w:sz w:val="28"/>
        </w:rPr>
        <w:instrText>garanties réelles</w:instrText>
      </w:r>
      <w:bookmarkEnd w:id="133"/>
      <w:bookmarkEnd w:id="134"/>
      <w:bookmarkEnd w:id="135"/>
      <w:bookmarkEnd w:id="136"/>
      <w:bookmarkEnd w:id="137"/>
      <w:bookmarkEnd w:id="138"/>
      <w:r>
        <w:instrText xml:space="preserve">" \f C \l "3" </w:instrText>
      </w:r>
      <w:r w:rsidR="0041495B">
        <w:rPr>
          <w:b/>
          <w:snapToGrid w:val="0"/>
          <w:color w:val="000000"/>
          <w:sz w:val="28"/>
        </w:rPr>
        <w:fldChar w:fldCharType="end"/>
      </w:r>
      <w:r w:rsidRPr="0056383D">
        <w:rPr>
          <w:snapToGrid w:val="0"/>
          <w:color w:val="000000"/>
        </w:rPr>
        <w:t xml:space="preserve"> sont l’hypothèque et le nantissement. Au sens latin du terme, le mot réel est à considérer ici comme étant un bien matériel.</w:t>
      </w:r>
    </w:p>
    <w:p w14:paraId="0693B50C" w14:textId="77777777" w:rsidR="00827B89" w:rsidRPr="0056383D" w:rsidRDefault="00827B89" w:rsidP="0086187F">
      <w:pPr>
        <w:numPr>
          <w:ilvl w:val="0"/>
          <w:numId w:val="30"/>
        </w:numPr>
        <w:spacing w:before="240"/>
        <w:ind w:left="357" w:hanging="357"/>
        <w:rPr>
          <w:snapToGrid w:val="0"/>
          <w:color w:val="000000"/>
        </w:rPr>
      </w:pPr>
      <w:r w:rsidRPr="0056383D">
        <w:rPr>
          <w:b/>
          <w:snapToGrid w:val="0"/>
          <w:color w:val="000000"/>
        </w:rPr>
        <w:t>L’hypothèque</w:t>
      </w:r>
      <w:r w:rsidRPr="0056383D">
        <w:rPr>
          <w:snapToGrid w:val="0"/>
          <w:color w:val="000000"/>
        </w:rPr>
        <w:t xml:space="preserve"> consiste à laisser en garantie un ou plusieurs bien</w:t>
      </w:r>
      <w:r w:rsidR="00D75C68">
        <w:rPr>
          <w:snapToGrid w:val="0"/>
          <w:color w:val="000000"/>
        </w:rPr>
        <w:t>s</w:t>
      </w:r>
      <w:r w:rsidRPr="0056383D">
        <w:rPr>
          <w:snapToGrid w:val="0"/>
          <w:color w:val="000000"/>
        </w:rPr>
        <w:t xml:space="preserve"> immeubles. L’hypothèque fait l’objet d’une inscription particulière au registre des hypothèques.</w:t>
      </w:r>
    </w:p>
    <w:p w14:paraId="0693B50D" w14:textId="77777777" w:rsidR="00827B89" w:rsidRPr="0056383D" w:rsidRDefault="00827B89" w:rsidP="0086187F">
      <w:pPr>
        <w:numPr>
          <w:ilvl w:val="0"/>
          <w:numId w:val="30"/>
        </w:numPr>
        <w:spacing w:before="240"/>
        <w:ind w:left="357" w:hanging="357"/>
        <w:rPr>
          <w:snapToGrid w:val="0"/>
          <w:color w:val="000000"/>
        </w:rPr>
      </w:pPr>
      <w:r w:rsidRPr="0056383D">
        <w:rPr>
          <w:snapToGrid w:val="0"/>
          <w:color w:val="000000"/>
        </w:rPr>
        <w:t xml:space="preserve">Le </w:t>
      </w:r>
      <w:r w:rsidRPr="0056383D">
        <w:rPr>
          <w:b/>
          <w:snapToGrid w:val="0"/>
          <w:color w:val="000000"/>
        </w:rPr>
        <w:t>nantissement</w:t>
      </w:r>
      <w:r w:rsidRPr="0056383D">
        <w:rPr>
          <w:snapToGrid w:val="0"/>
          <w:color w:val="000000"/>
        </w:rPr>
        <w:t xml:space="preserve"> est un contrat par lequel l’emprunteur remet à son prêteur un bien meuble en garantie de son prêt. Des particularités sont inhérentes aux différents types de biens meubles laissés en gage. </w:t>
      </w:r>
      <w:r w:rsidRPr="0056383D">
        <w:rPr>
          <w:i/>
          <w:snapToGrid w:val="0"/>
          <w:color w:val="000000"/>
        </w:rPr>
        <w:t>Ce peuvent être des titres, des marchandises, des créances, des polices d’assurances, des traites, des factures, des espèces, des métaux précieux, des avoirs en compte, des fonds de commerce, des privilèges agricoles, etc.</w:t>
      </w:r>
    </w:p>
    <w:p w14:paraId="0693B50E" w14:textId="77777777" w:rsidR="00827B89" w:rsidRPr="0056383D" w:rsidRDefault="00827B89" w:rsidP="0086187F">
      <w:pPr>
        <w:numPr>
          <w:ilvl w:val="0"/>
          <w:numId w:val="30"/>
        </w:numPr>
        <w:spacing w:before="240"/>
        <w:ind w:left="357" w:hanging="357"/>
        <w:rPr>
          <w:snapToGrid w:val="0"/>
          <w:color w:val="000000"/>
        </w:rPr>
      </w:pPr>
      <w:r w:rsidRPr="0056383D">
        <w:rPr>
          <w:snapToGrid w:val="0"/>
          <w:color w:val="000000"/>
        </w:rPr>
        <w:t>Suivant les cas, le gage doit être constaté par acte authentique. Parfois des limites dans le temps sont imposées à la détention des gages. Il faudra aussi parfois bloquer en compte certains avoirs tels que les titres ou les espèces. En résumé, un certain formalisme est à observer suivant la nature du gage. Il convient donc de se référer au Code Civil pour plus de détails.</w:t>
      </w:r>
    </w:p>
    <w:p w14:paraId="0693B50F" w14:textId="77777777" w:rsidR="00827B89" w:rsidRPr="0056383D" w:rsidRDefault="00827B89" w:rsidP="00827B89">
      <w:pPr>
        <w:spacing w:before="480"/>
        <w:ind w:right="17"/>
        <w:jc w:val="both"/>
        <w:rPr>
          <w:snapToGrid w:val="0"/>
          <w:color w:val="000000"/>
        </w:rPr>
      </w:pPr>
      <w:r w:rsidRPr="0056383D">
        <w:rPr>
          <w:snapToGrid w:val="0"/>
          <w:color w:val="000000"/>
        </w:rPr>
        <w:t xml:space="preserve">Les </w:t>
      </w:r>
      <w:r w:rsidRPr="0056383D">
        <w:rPr>
          <w:b/>
          <w:snapToGrid w:val="0"/>
          <w:color w:val="000000"/>
          <w:sz w:val="28"/>
        </w:rPr>
        <w:t>garanties personnelles</w:t>
      </w:r>
      <w:r w:rsidR="0041495B">
        <w:rPr>
          <w:b/>
          <w:snapToGrid w:val="0"/>
          <w:color w:val="000000"/>
          <w:sz w:val="28"/>
        </w:rPr>
        <w:fldChar w:fldCharType="begin"/>
      </w:r>
      <w:r>
        <w:instrText xml:space="preserve"> TC "</w:instrText>
      </w:r>
      <w:bookmarkStart w:id="139" w:name="_Toc189382520"/>
      <w:bookmarkStart w:id="140" w:name="_Toc189382911"/>
      <w:bookmarkStart w:id="141" w:name="_Toc189383125"/>
      <w:bookmarkStart w:id="142" w:name="_Toc189383218"/>
      <w:bookmarkStart w:id="143" w:name="_Toc192996385"/>
      <w:bookmarkStart w:id="144" w:name="_Toc279042806"/>
      <w:r w:rsidRPr="00842E70">
        <w:rPr>
          <w:b/>
          <w:snapToGrid w:val="0"/>
          <w:color w:val="000000"/>
          <w:sz w:val="28"/>
        </w:rPr>
        <w:instrText>garanties personnelles</w:instrText>
      </w:r>
      <w:bookmarkEnd w:id="139"/>
      <w:bookmarkEnd w:id="140"/>
      <w:bookmarkEnd w:id="141"/>
      <w:bookmarkEnd w:id="142"/>
      <w:bookmarkEnd w:id="143"/>
      <w:bookmarkEnd w:id="144"/>
      <w:r>
        <w:instrText xml:space="preserve">" \f C \l "3" </w:instrText>
      </w:r>
      <w:r w:rsidR="0041495B">
        <w:rPr>
          <w:b/>
          <w:snapToGrid w:val="0"/>
          <w:color w:val="000000"/>
          <w:sz w:val="28"/>
        </w:rPr>
        <w:fldChar w:fldCharType="end"/>
      </w:r>
      <w:r w:rsidRPr="0056383D">
        <w:rPr>
          <w:snapToGrid w:val="0"/>
          <w:color w:val="000000"/>
        </w:rPr>
        <w:t xml:space="preserve"> sont la caution</w:t>
      </w:r>
      <w:r w:rsidR="0041495B" w:rsidRPr="0056383D">
        <w:rPr>
          <w:snapToGrid w:val="0"/>
          <w:color w:val="000000"/>
        </w:rPr>
        <w:fldChar w:fldCharType="begin"/>
      </w:r>
      <w:r w:rsidRPr="0056383D">
        <w:rPr>
          <w:snapToGrid w:val="0"/>
          <w:color w:val="000000"/>
        </w:rPr>
        <w:instrText xml:space="preserve"> XE "</w:instrText>
      </w:r>
      <w:r w:rsidRPr="0056383D">
        <w:instrText>caution"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et l’aval</w:t>
      </w:r>
      <w:r w:rsidR="0041495B" w:rsidRPr="0056383D">
        <w:rPr>
          <w:snapToGrid w:val="0"/>
          <w:color w:val="000000"/>
        </w:rPr>
        <w:fldChar w:fldCharType="begin"/>
      </w:r>
      <w:r w:rsidRPr="0056383D">
        <w:rPr>
          <w:snapToGrid w:val="0"/>
          <w:color w:val="000000"/>
        </w:rPr>
        <w:instrText xml:space="preserve"> XE "</w:instrText>
      </w:r>
      <w:r w:rsidRPr="0056383D">
        <w:instrText>aval"</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w:t>
      </w:r>
    </w:p>
    <w:p w14:paraId="0693B510" w14:textId="77777777" w:rsidR="00827B89" w:rsidRPr="0056383D" w:rsidRDefault="00827B89" w:rsidP="0086187F">
      <w:pPr>
        <w:numPr>
          <w:ilvl w:val="0"/>
          <w:numId w:val="31"/>
        </w:numPr>
        <w:spacing w:before="240"/>
        <w:ind w:left="357" w:hanging="357"/>
        <w:rPr>
          <w:snapToGrid w:val="0"/>
          <w:color w:val="000000"/>
        </w:rPr>
      </w:pPr>
      <w:r w:rsidRPr="0056383D">
        <w:rPr>
          <w:snapToGrid w:val="0"/>
          <w:color w:val="000000"/>
        </w:rPr>
        <w:lastRenderedPageBreak/>
        <w:t xml:space="preserve">La </w:t>
      </w:r>
      <w:r w:rsidRPr="0056383D">
        <w:rPr>
          <w:b/>
          <w:snapToGrid w:val="0"/>
          <w:color w:val="000000"/>
        </w:rPr>
        <w:t>caution</w:t>
      </w:r>
      <w:r w:rsidR="0041495B" w:rsidRPr="0056383D">
        <w:rPr>
          <w:b/>
          <w:snapToGrid w:val="0"/>
          <w:color w:val="000000"/>
        </w:rPr>
        <w:fldChar w:fldCharType="begin"/>
      </w:r>
      <w:r w:rsidRPr="0056383D">
        <w:rPr>
          <w:b/>
          <w:snapToGrid w:val="0"/>
          <w:color w:val="000000"/>
        </w:rPr>
        <w:instrText xml:space="preserve"> XE "</w:instrText>
      </w:r>
      <w:r w:rsidRPr="0056383D">
        <w:instrText>caution"</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est un engagement personnel pris par une ou plusieurs personnes de payer le prêteur au cas où son débiteur ne respecte pas ses obligations. Cet engagement peut se faire à l’insu de l’emprunteur. Il s’agit d’un contrat de nature civile, consensuel, unilatéral et accessoire (Cf. cours de Droit Civil). Mais attention, toutes les parties se portant caution sont solidairement responsables. C’est-à-dire qu’en cas de problème, le créancier peut faire appel à </w:t>
      </w:r>
      <w:r w:rsidRPr="0056383D">
        <w:rPr>
          <w:i/>
          <w:snapToGrid w:val="0"/>
          <w:color w:val="000000"/>
        </w:rPr>
        <w:t>n’importe quel</w:t>
      </w:r>
      <w:r w:rsidRPr="0056383D">
        <w:rPr>
          <w:snapToGrid w:val="0"/>
          <w:color w:val="000000"/>
        </w:rPr>
        <w:t xml:space="preserve"> cosignataire en vue de lui réclamer la </w:t>
      </w:r>
      <w:r w:rsidRPr="0056383D">
        <w:rPr>
          <w:i/>
          <w:snapToGrid w:val="0"/>
          <w:color w:val="000000"/>
        </w:rPr>
        <w:t>totalité</w:t>
      </w:r>
      <w:r w:rsidRPr="0056383D">
        <w:rPr>
          <w:snapToGrid w:val="0"/>
          <w:color w:val="000000"/>
        </w:rPr>
        <w:t xml:space="preserve"> de la créance.</w:t>
      </w:r>
    </w:p>
    <w:p w14:paraId="0693B511" w14:textId="77777777" w:rsidR="00827B89" w:rsidRDefault="00827B89" w:rsidP="0086187F">
      <w:pPr>
        <w:numPr>
          <w:ilvl w:val="0"/>
          <w:numId w:val="31"/>
        </w:numPr>
        <w:spacing w:before="240"/>
        <w:ind w:left="357" w:hanging="357"/>
        <w:rPr>
          <w:snapToGrid w:val="0"/>
          <w:color w:val="000000"/>
        </w:rPr>
      </w:pPr>
      <w:r w:rsidRPr="0056383D">
        <w:rPr>
          <w:b/>
          <w:snapToGrid w:val="0"/>
          <w:color w:val="000000"/>
        </w:rPr>
        <w:t>L’aval</w:t>
      </w:r>
      <w:r w:rsidR="0041495B" w:rsidRPr="0056383D">
        <w:rPr>
          <w:b/>
          <w:snapToGrid w:val="0"/>
          <w:color w:val="000000"/>
        </w:rPr>
        <w:fldChar w:fldCharType="begin"/>
      </w:r>
      <w:r w:rsidRPr="0056383D">
        <w:rPr>
          <w:b/>
          <w:snapToGrid w:val="0"/>
          <w:color w:val="000000"/>
        </w:rPr>
        <w:instrText xml:space="preserve"> XE "</w:instrText>
      </w:r>
      <w:r w:rsidRPr="0056383D">
        <w:instrText>aval"</w:instrText>
      </w:r>
      <w:r w:rsidRPr="0056383D">
        <w:rPr>
          <w:b/>
          <w:snapToGrid w:val="0"/>
          <w:color w:val="000000"/>
        </w:rPr>
        <w:instrText xml:space="preserve"> </w:instrText>
      </w:r>
      <w:r w:rsidR="0041495B" w:rsidRPr="0056383D">
        <w:rPr>
          <w:b/>
          <w:snapToGrid w:val="0"/>
          <w:color w:val="000000"/>
        </w:rPr>
        <w:fldChar w:fldCharType="end"/>
      </w:r>
      <w:r w:rsidRPr="0056383D">
        <w:rPr>
          <w:snapToGrid w:val="0"/>
          <w:color w:val="000000"/>
        </w:rPr>
        <w:t xml:space="preserve"> est un cautionnement considéré comme un contrat commercial et non pas civil comme la caution</w:t>
      </w:r>
      <w:r w:rsidR="0041495B" w:rsidRPr="0056383D">
        <w:rPr>
          <w:snapToGrid w:val="0"/>
          <w:color w:val="000000"/>
        </w:rPr>
        <w:fldChar w:fldCharType="begin"/>
      </w:r>
      <w:r w:rsidRPr="0056383D">
        <w:rPr>
          <w:snapToGrid w:val="0"/>
          <w:color w:val="000000"/>
        </w:rPr>
        <w:instrText xml:space="preserve"> XE "</w:instrText>
      </w:r>
      <w:r w:rsidRPr="0056383D">
        <w:instrText>caution"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L’aval est utilisé comme garantie de paiement d’un effet de commerce, soit directement en le mentionnant sur l’effet, soit par acte séparé.</w:t>
      </w:r>
    </w:p>
    <w:p w14:paraId="0693B512" w14:textId="77777777" w:rsidR="00827B89" w:rsidRPr="0056383D" w:rsidRDefault="00827B89" w:rsidP="00827B89">
      <w:pPr>
        <w:spacing w:before="240"/>
        <w:jc w:val="center"/>
        <w:rPr>
          <w:snapToGrid w:val="0"/>
          <w:color w:val="000000"/>
        </w:rPr>
      </w:pPr>
    </w:p>
    <w:p w14:paraId="0693B513" w14:textId="77777777" w:rsidR="00827B89" w:rsidRPr="0056383D" w:rsidRDefault="00827B89" w:rsidP="00827B89">
      <w:pPr>
        <w:spacing w:before="480"/>
        <w:ind w:right="17"/>
        <w:jc w:val="both"/>
        <w:rPr>
          <w:snapToGrid w:val="0"/>
          <w:color w:val="000000"/>
        </w:rPr>
      </w:pPr>
      <w:r w:rsidRPr="0056383D">
        <w:rPr>
          <w:snapToGrid w:val="0"/>
          <w:color w:val="000000"/>
        </w:rPr>
        <w:t xml:space="preserve">Les </w:t>
      </w:r>
      <w:r w:rsidRPr="0056383D">
        <w:rPr>
          <w:b/>
          <w:snapToGrid w:val="0"/>
          <w:color w:val="000000"/>
          <w:sz w:val="28"/>
        </w:rPr>
        <w:t>garanties morales</w:t>
      </w:r>
      <w:r w:rsidR="0041495B">
        <w:rPr>
          <w:b/>
          <w:snapToGrid w:val="0"/>
          <w:color w:val="000000"/>
          <w:sz w:val="28"/>
        </w:rPr>
        <w:fldChar w:fldCharType="begin"/>
      </w:r>
      <w:r>
        <w:instrText xml:space="preserve"> TC "</w:instrText>
      </w:r>
      <w:bookmarkStart w:id="145" w:name="_Toc189382521"/>
      <w:bookmarkStart w:id="146" w:name="_Toc189382912"/>
      <w:bookmarkStart w:id="147" w:name="_Toc189383126"/>
      <w:bookmarkStart w:id="148" w:name="_Toc189383219"/>
      <w:bookmarkStart w:id="149" w:name="_Toc192996386"/>
      <w:bookmarkStart w:id="150" w:name="_Toc279042807"/>
      <w:r w:rsidRPr="002861C3">
        <w:rPr>
          <w:b/>
          <w:snapToGrid w:val="0"/>
          <w:color w:val="000000"/>
          <w:sz w:val="28"/>
        </w:rPr>
        <w:instrText>garanties morales</w:instrText>
      </w:r>
      <w:bookmarkEnd w:id="145"/>
      <w:bookmarkEnd w:id="146"/>
      <w:bookmarkEnd w:id="147"/>
      <w:bookmarkEnd w:id="148"/>
      <w:bookmarkEnd w:id="149"/>
      <w:bookmarkEnd w:id="150"/>
      <w:r>
        <w:instrText xml:space="preserve">" \f C \l "3" </w:instrText>
      </w:r>
      <w:r w:rsidR="0041495B">
        <w:rPr>
          <w:b/>
          <w:snapToGrid w:val="0"/>
          <w:color w:val="000000"/>
          <w:sz w:val="28"/>
        </w:rPr>
        <w:fldChar w:fldCharType="end"/>
      </w:r>
      <w:r w:rsidRPr="0056383D">
        <w:rPr>
          <w:snapToGrid w:val="0"/>
          <w:color w:val="000000"/>
        </w:rPr>
        <w:t xml:space="preserve"> sont encore moins “ exigibles ” que les garanties personnelles ou, certainement, les garanties réelles, quoique nécessitant toujours un écrit.</w:t>
      </w:r>
    </w:p>
    <w:p w14:paraId="0693B514" w14:textId="77777777" w:rsidR="00827B89" w:rsidRPr="0056383D" w:rsidRDefault="00827B89" w:rsidP="0086187F">
      <w:pPr>
        <w:numPr>
          <w:ilvl w:val="0"/>
          <w:numId w:val="32"/>
        </w:numPr>
        <w:spacing w:before="240"/>
        <w:ind w:left="357" w:hanging="357"/>
        <w:rPr>
          <w:snapToGrid w:val="0"/>
          <w:color w:val="000000"/>
        </w:rPr>
      </w:pPr>
      <w:r w:rsidRPr="0056383D">
        <w:rPr>
          <w:b/>
          <w:snapToGrid w:val="0"/>
          <w:color w:val="000000"/>
        </w:rPr>
        <w:t>L’engagement immobilier</w:t>
      </w:r>
      <w:r w:rsidRPr="0056383D">
        <w:rPr>
          <w:snapToGrid w:val="0"/>
          <w:color w:val="000000"/>
        </w:rPr>
        <w:t xml:space="preserve"> est un acte par lequel l’emprunteur s’engage à n’affecter au bien immobilier en question aucun privilège ou hypothèque, ni de l’aliéner sans en avoir avisé la banque préalablement.</w:t>
      </w:r>
    </w:p>
    <w:p w14:paraId="0693B515" w14:textId="77777777" w:rsidR="00827B89" w:rsidRPr="0056383D" w:rsidRDefault="00827B89" w:rsidP="0086187F">
      <w:pPr>
        <w:numPr>
          <w:ilvl w:val="0"/>
          <w:numId w:val="32"/>
        </w:numPr>
        <w:spacing w:before="240"/>
        <w:ind w:left="357" w:hanging="357"/>
        <w:rPr>
          <w:snapToGrid w:val="0"/>
          <w:color w:val="000000"/>
        </w:rPr>
      </w:pPr>
      <w:r w:rsidRPr="0056383D">
        <w:rPr>
          <w:snapToGrid w:val="0"/>
          <w:color w:val="000000"/>
        </w:rPr>
        <w:t xml:space="preserve">Le </w:t>
      </w:r>
      <w:r w:rsidRPr="0056383D">
        <w:rPr>
          <w:b/>
          <w:snapToGrid w:val="0"/>
          <w:color w:val="000000"/>
        </w:rPr>
        <w:t>pouvoir de prendre une hypothèque</w:t>
      </w:r>
      <w:r w:rsidRPr="0056383D">
        <w:rPr>
          <w:snapToGrid w:val="0"/>
          <w:color w:val="000000"/>
        </w:rPr>
        <w:t xml:space="preserve"> est un mandat par lequel l’emprunteur autorise la banque, en cas de problème, à se payer en hypothéquant un bien immobilier.</w:t>
      </w:r>
    </w:p>
    <w:p w14:paraId="0693B516" w14:textId="77777777" w:rsidR="00827B89" w:rsidRPr="0056383D" w:rsidRDefault="00827B89" w:rsidP="0086187F">
      <w:pPr>
        <w:numPr>
          <w:ilvl w:val="0"/>
          <w:numId w:val="32"/>
        </w:numPr>
        <w:spacing w:before="240"/>
        <w:ind w:left="357" w:hanging="357"/>
        <w:rPr>
          <w:snapToGrid w:val="0"/>
          <w:color w:val="000000"/>
        </w:rPr>
      </w:pPr>
      <w:r w:rsidRPr="0056383D">
        <w:rPr>
          <w:b/>
          <w:snapToGrid w:val="0"/>
          <w:color w:val="000000"/>
        </w:rPr>
        <w:t>L’engagement de non remboursement et de non retrait d’avances d’associés et la reconnaissance d’antériorité de créance</w:t>
      </w:r>
      <w:r w:rsidRPr="0056383D">
        <w:rPr>
          <w:snapToGrid w:val="0"/>
          <w:color w:val="000000"/>
        </w:rPr>
        <w:t xml:space="preserve"> est un acte par lequel l’emprunteur accordera une priorité de remboursement à la banque en cas de </w:t>
      </w:r>
      <w:r w:rsidR="00EA2B2A" w:rsidRPr="0056383D">
        <w:rPr>
          <w:snapToGrid w:val="0"/>
          <w:color w:val="000000"/>
        </w:rPr>
        <w:t>non-respect</w:t>
      </w:r>
      <w:r w:rsidRPr="0056383D">
        <w:rPr>
          <w:snapToGrid w:val="0"/>
          <w:color w:val="000000"/>
        </w:rPr>
        <w:t xml:space="preserve"> de ses obligations.</w:t>
      </w:r>
    </w:p>
    <w:p w14:paraId="0693B517" w14:textId="77777777" w:rsidR="00827B89" w:rsidRPr="0056383D" w:rsidRDefault="00827B89" w:rsidP="0086187F">
      <w:pPr>
        <w:numPr>
          <w:ilvl w:val="0"/>
          <w:numId w:val="32"/>
        </w:numPr>
        <w:spacing w:before="240"/>
        <w:ind w:left="357" w:hanging="357"/>
        <w:rPr>
          <w:snapToGrid w:val="0"/>
          <w:color w:val="000000"/>
        </w:rPr>
      </w:pPr>
      <w:r w:rsidRPr="0056383D">
        <w:rPr>
          <w:snapToGrid w:val="0"/>
          <w:color w:val="000000"/>
        </w:rPr>
        <w:t xml:space="preserve">Le </w:t>
      </w:r>
      <w:r w:rsidRPr="0056383D">
        <w:rPr>
          <w:b/>
          <w:snapToGrid w:val="0"/>
          <w:color w:val="000000"/>
        </w:rPr>
        <w:t>blocage de dépôts de titres ou d’espèces</w:t>
      </w:r>
      <w:r w:rsidRPr="0056383D">
        <w:rPr>
          <w:snapToGrid w:val="0"/>
          <w:color w:val="000000"/>
        </w:rPr>
        <w:t xml:space="preserve"> permet à l’emprunteur de garantir son crédit sans mettre ses biens en gage.</w:t>
      </w:r>
    </w:p>
    <w:p w14:paraId="0693B518" w14:textId="77777777" w:rsidR="00827B89" w:rsidRDefault="00827B89" w:rsidP="0086187F">
      <w:pPr>
        <w:numPr>
          <w:ilvl w:val="0"/>
          <w:numId w:val="32"/>
        </w:numPr>
        <w:spacing w:before="240"/>
        <w:ind w:left="357" w:hanging="357"/>
        <w:rPr>
          <w:snapToGrid w:val="0"/>
          <w:color w:val="000000"/>
        </w:rPr>
      </w:pPr>
      <w:r w:rsidRPr="0056383D">
        <w:rPr>
          <w:snapToGrid w:val="0"/>
          <w:color w:val="000000"/>
        </w:rPr>
        <w:t xml:space="preserve">La </w:t>
      </w:r>
      <w:r w:rsidRPr="0056383D">
        <w:rPr>
          <w:b/>
          <w:snapToGrid w:val="0"/>
          <w:color w:val="000000"/>
        </w:rPr>
        <w:t>réservation exclusive du service financier et autorisation de procéder à la vérification périodique des livres comptables</w:t>
      </w:r>
      <w:r w:rsidRPr="0056383D">
        <w:rPr>
          <w:snapToGrid w:val="0"/>
          <w:color w:val="000000"/>
        </w:rPr>
        <w:t xml:space="preserve"> permet au banquier de suivre de près la bonne march</w:t>
      </w:r>
      <w:r>
        <w:rPr>
          <w:snapToGrid w:val="0"/>
          <w:color w:val="000000"/>
        </w:rPr>
        <w:t>e des affaires de l’emprunteur.</w:t>
      </w:r>
    </w:p>
    <w:p w14:paraId="0693B519" w14:textId="77777777" w:rsidR="00827B89" w:rsidRPr="001E4588" w:rsidRDefault="00FB0892" w:rsidP="00827B89">
      <w:pPr>
        <w:spacing w:before="240"/>
        <w:jc w:val="center"/>
        <w:rPr>
          <w:snapToGrid w:val="0"/>
          <w:color w:val="000000"/>
        </w:rPr>
      </w:pPr>
      <w:r>
        <w:rPr>
          <w:noProof/>
          <w:color w:val="000000"/>
          <w:lang w:eastAsia="fr-BE"/>
        </w:rPr>
        <w:lastRenderedPageBreak/>
        <w:drawing>
          <wp:inline distT="0" distB="0" distL="0" distR="0" wp14:anchorId="0693BADA" wp14:editId="0693BADB">
            <wp:extent cx="4095750" cy="4133850"/>
            <wp:effectExtent l="0" t="0" r="0" b="0"/>
            <wp:docPr id="13" name="Image 13" descr="gar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ant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95750" cy="4133850"/>
                    </a:xfrm>
                    <a:prstGeom prst="rect">
                      <a:avLst/>
                    </a:prstGeom>
                    <a:noFill/>
                    <a:ln>
                      <a:noFill/>
                    </a:ln>
                  </pic:spPr>
                </pic:pic>
              </a:graphicData>
            </a:graphic>
          </wp:inline>
        </w:drawing>
      </w:r>
      <w:r w:rsidR="00827B89">
        <w:rPr>
          <w:snapToGrid w:val="0"/>
          <w:color w:val="000000"/>
        </w:rPr>
        <w:br/>
        <w:t>Source :</w:t>
      </w:r>
      <w:r w:rsidR="00827B89" w:rsidRPr="001E4588">
        <w:rPr>
          <w:snapToGrid w:val="0"/>
          <w:color w:val="000000"/>
        </w:rPr>
        <w:t xml:space="preserve"> </w:t>
      </w:r>
      <w:r w:rsidR="00827B89">
        <w:rPr>
          <w:snapToGrid w:val="0"/>
          <w:color w:val="000000"/>
        </w:rPr>
        <w:t>www.abb-bvb.be</w:t>
      </w:r>
    </w:p>
    <w:p w14:paraId="0693B51A" w14:textId="77777777" w:rsidR="00827B89" w:rsidRDefault="00FB0892" w:rsidP="00827B89">
      <w:pPr>
        <w:jc w:val="center"/>
      </w:pPr>
      <w:r>
        <w:rPr>
          <w:noProof/>
          <w:lang w:eastAsia="fr-BE"/>
        </w:rPr>
        <w:lastRenderedPageBreak/>
        <w:drawing>
          <wp:inline distT="0" distB="0" distL="0" distR="0" wp14:anchorId="0693BADC" wp14:editId="0693BADD">
            <wp:extent cx="5581650" cy="6000750"/>
            <wp:effectExtent l="38100" t="38100" r="38100" b="38100"/>
            <wp:docPr id="14" name="Image 14"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mériser00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1650" cy="6000750"/>
                    </a:xfrm>
                    <a:prstGeom prst="rect">
                      <a:avLst/>
                    </a:prstGeom>
                    <a:noFill/>
                    <a:ln w="28575" cmpd="sng">
                      <a:solidFill>
                        <a:srgbClr val="000000"/>
                      </a:solidFill>
                      <a:miter lim="800000"/>
                      <a:headEnd/>
                      <a:tailEnd/>
                    </a:ln>
                    <a:effectLst/>
                  </pic:spPr>
                </pic:pic>
              </a:graphicData>
            </a:graphic>
          </wp:inline>
        </w:drawing>
      </w:r>
    </w:p>
    <w:p w14:paraId="0693B51B" w14:textId="77777777" w:rsidR="00827B89" w:rsidRDefault="00827B89" w:rsidP="00827B89">
      <w:pPr>
        <w:ind w:right="16"/>
        <w:jc w:val="center"/>
      </w:pPr>
      <w:r w:rsidRPr="00193FF0">
        <w:t>BAISIR, COUSIN, DAIVIER, Connaissances de gestion, LABOR, Bruxelles, 1990, p.</w:t>
      </w:r>
      <w:r>
        <w:t> 216</w:t>
      </w:r>
    </w:p>
    <w:p w14:paraId="0693B51C" w14:textId="77777777" w:rsidR="004C64BF" w:rsidRDefault="004C64BF" w:rsidP="0005457C">
      <w:pPr>
        <w:pStyle w:val="StyleDivAprs14pt"/>
      </w:pPr>
    </w:p>
    <w:p w14:paraId="0693B51D" w14:textId="77777777" w:rsidR="004C64BF" w:rsidRDefault="004C64BF" w:rsidP="00105A84">
      <w:pPr>
        <w:pStyle w:val="Titre2"/>
      </w:pPr>
      <w:bookmarkStart w:id="151" w:name="Cr_dits_aux_particuliers_34176"/>
      <w:bookmarkStart w:id="152" w:name="_Toc482815597"/>
      <w:bookmarkEnd w:id="151"/>
      <w:r>
        <w:t>Crédits aux particuliers</w:t>
      </w:r>
      <w:bookmarkEnd w:id="152"/>
      <w:r>
        <w:t xml:space="preserve"> </w:t>
      </w:r>
    </w:p>
    <w:p w14:paraId="0693B51E" w14:textId="77777777" w:rsidR="00A53617" w:rsidRPr="0056383D" w:rsidRDefault="00A53617" w:rsidP="00A53617">
      <w:pPr>
        <w:ind w:right="16"/>
        <w:jc w:val="both"/>
        <w:rPr>
          <w:snapToGrid w:val="0"/>
          <w:color w:val="000000"/>
        </w:rPr>
      </w:pPr>
      <w:bookmarkStart w:id="153" w:name="Cr_dits_aux_entreprises_512570_210366041"/>
      <w:bookmarkEnd w:id="153"/>
      <w:r w:rsidRPr="0056383D">
        <w:rPr>
          <w:snapToGrid w:val="0"/>
          <w:color w:val="000000"/>
        </w:rPr>
        <w:t>De manière générale, le banquie</w:t>
      </w:r>
      <w:r>
        <w:rPr>
          <w:snapToGrid w:val="0"/>
          <w:color w:val="000000"/>
        </w:rPr>
        <w:t>r peut octroyer un maximum d’1/4</w:t>
      </w:r>
      <w:r w:rsidRPr="0056383D">
        <w:rPr>
          <w:snapToGrid w:val="0"/>
          <w:color w:val="000000"/>
        </w:rPr>
        <w:t xml:space="preserve"> du revenu annuel du client </w:t>
      </w:r>
      <w:r>
        <w:rPr>
          <w:snapToGrid w:val="0"/>
          <w:color w:val="000000"/>
        </w:rPr>
        <w:t xml:space="preserve">isolé </w:t>
      </w:r>
      <w:r w:rsidRPr="0056383D">
        <w:rPr>
          <w:snapToGrid w:val="0"/>
          <w:color w:val="000000"/>
        </w:rPr>
        <w:t>(1/</w:t>
      </w:r>
      <w:r>
        <w:rPr>
          <w:snapToGrid w:val="0"/>
          <w:color w:val="000000"/>
        </w:rPr>
        <w:t>3</w:t>
      </w:r>
      <w:r w:rsidRPr="0056383D">
        <w:rPr>
          <w:snapToGrid w:val="0"/>
          <w:color w:val="000000"/>
        </w:rPr>
        <w:t xml:space="preserve"> dans le cas où l’on cumule les revenus des membres du ménage). </w:t>
      </w:r>
    </w:p>
    <w:p w14:paraId="0693B51F" w14:textId="77777777" w:rsidR="00A53617" w:rsidRPr="0056383D" w:rsidRDefault="00A53617" w:rsidP="00A53617">
      <w:pPr>
        <w:ind w:right="16"/>
        <w:jc w:val="both"/>
        <w:rPr>
          <w:snapToGrid w:val="0"/>
          <w:color w:val="000000"/>
        </w:rPr>
      </w:pPr>
      <w:r w:rsidRPr="0056383D">
        <w:rPr>
          <w:snapToGrid w:val="0"/>
          <w:color w:val="000000"/>
        </w:rPr>
        <w:t xml:space="preserve">Mettons fin aussi à un mythe : 97 % des crédits aux particuliers (injustement appelés aussi crédits à la consommation) sont intégralement remboursés. </w:t>
      </w:r>
    </w:p>
    <w:p w14:paraId="0693B520" w14:textId="77777777" w:rsidR="00A53617" w:rsidRPr="0056383D" w:rsidRDefault="00A53617" w:rsidP="00A53617">
      <w:pPr>
        <w:ind w:right="16"/>
        <w:jc w:val="both"/>
        <w:rPr>
          <w:snapToGrid w:val="0"/>
          <w:color w:val="000000"/>
        </w:rPr>
      </w:pPr>
      <w:r w:rsidRPr="0056383D">
        <w:rPr>
          <w:snapToGrid w:val="0"/>
          <w:color w:val="000000"/>
        </w:rPr>
        <w:t xml:space="preserve">Il faut également savoir que depuis </w:t>
      </w:r>
      <w:r w:rsidRPr="0056383D">
        <w:rPr>
          <w:b/>
          <w:snapToGrid w:val="0"/>
          <w:color w:val="000000"/>
        </w:rPr>
        <w:t>1991 (</w:t>
      </w:r>
      <w:hyperlink r:id="rId98" w:history="1">
        <w:r w:rsidRPr="00AA42A4">
          <w:rPr>
            <w:rStyle w:val="Lienhypertexte"/>
            <w:b/>
            <w:snapToGrid w:val="0"/>
          </w:rPr>
          <w:t>loi Claes</w:t>
        </w:r>
      </w:hyperlink>
      <w:r w:rsidRPr="0056383D">
        <w:rPr>
          <w:b/>
          <w:snapToGrid w:val="0"/>
          <w:color w:val="000000"/>
        </w:rPr>
        <w:t>)</w:t>
      </w:r>
      <w:r w:rsidRPr="0056383D">
        <w:rPr>
          <w:snapToGrid w:val="0"/>
          <w:color w:val="000000"/>
        </w:rPr>
        <w:t xml:space="preserve">, puis </w:t>
      </w:r>
      <w:r w:rsidRPr="0097051A">
        <w:rPr>
          <w:b/>
          <w:snapToGrid w:val="0"/>
          <w:color w:val="000000"/>
        </w:rPr>
        <w:t>1992</w:t>
      </w:r>
      <w:r>
        <w:rPr>
          <w:b/>
          <w:snapToGrid w:val="0"/>
          <w:color w:val="000000"/>
        </w:rPr>
        <w:t xml:space="preserve"> </w:t>
      </w:r>
      <w:r w:rsidRPr="0097051A">
        <w:rPr>
          <w:snapToGrid w:val="0"/>
          <w:color w:val="000000"/>
        </w:rPr>
        <w:t>(loi sur les crédits hypothécaires) et</w:t>
      </w:r>
      <w:r>
        <w:rPr>
          <w:b/>
          <w:snapToGrid w:val="0"/>
          <w:color w:val="000000"/>
        </w:rPr>
        <w:t xml:space="preserve"> </w:t>
      </w:r>
      <w:r w:rsidRPr="0056383D">
        <w:rPr>
          <w:b/>
          <w:snapToGrid w:val="0"/>
          <w:color w:val="000000"/>
        </w:rPr>
        <w:t>1994 (</w:t>
      </w:r>
      <w:hyperlink r:id="rId99" w:history="1">
        <w:r w:rsidRPr="00AA42A4">
          <w:rPr>
            <w:rStyle w:val="Lienhypertexte"/>
            <w:b/>
            <w:snapToGrid w:val="0"/>
          </w:rPr>
          <w:t>loi Wathelet</w:t>
        </w:r>
      </w:hyperlink>
      <w:r w:rsidRPr="0056383D">
        <w:rPr>
          <w:b/>
          <w:snapToGrid w:val="0"/>
          <w:color w:val="000000"/>
        </w:rPr>
        <w:t>)</w:t>
      </w:r>
      <w:r w:rsidRPr="0056383D">
        <w:rPr>
          <w:snapToGrid w:val="0"/>
          <w:color w:val="000000"/>
        </w:rPr>
        <w:t>, de profonds changements sont survenus dans le marché des crédits aux particuliers. Par exemple, le crédit hypothécaire n’existe plus. Et l’on s’oriente de plus en plus vers la technique du “ credit scoring</w:t>
      </w:r>
      <w:r w:rsidR="0041495B" w:rsidRPr="0056383D">
        <w:rPr>
          <w:snapToGrid w:val="0"/>
          <w:color w:val="000000"/>
        </w:rPr>
        <w:fldChar w:fldCharType="begin"/>
      </w:r>
      <w:r w:rsidRPr="0056383D">
        <w:rPr>
          <w:snapToGrid w:val="0"/>
          <w:color w:val="000000"/>
        </w:rPr>
        <w:instrText xml:space="preserve"> XE "</w:instrText>
      </w:r>
      <w:r w:rsidRPr="0056383D">
        <w:instrText>credit scoring"</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 pour décider si un crédit sera octroyé ou pas. (Il s’agit d’un technique consistant à répondre à un questionnaire type. Les réponses sont pondérées, de manière à obtenir une note d’appréciation finale, qui doit se situer dans des marges déterminées pour que le crédit soit octroyé.)</w:t>
      </w:r>
    </w:p>
    <w:p w14:paraId="0693B521" w14:textId="77777777" w:rsidR="00A53617" w:rsidRPr="0056383D" w:rsidRDefault="00A53617" w:rsidP="00A53617">
      <w:pPr>
        <w:ind w:right="16"/>
        <w:jc w:val="both"/>
        <w:rPr>
          <w:snapToGrid w:val="0"/>
          <w:color w:val="000000"/>
        </w:rPr>
      </w:pPr>
      <w:r w:rsidRPr="0056383D">
        <w:rPr>
          <w:snapToGrid w:val="0"/>
          <w:color w:val="000000"/>
        </w:rPr>
        <w:t>Dans la suite du texte, nous ne citerons que les crédits les plus fréquemment utilisés.</w:t>
      </w:r>
    </w:p>
    <w:p w14:paraId="0693B522" w14:textId="77777777" w:rsidR="00A53617" w:rsidRPr="0056383D" w:rsidRDefault="00A53617" w:rsidP="00E101C5">
      <w:pPr>
        <w:pStyle w:val="Titre3"/>
        <w:rPr>
          <w:snapToGrid w:val="0"/>
        </w:rPr>
      </w:pPr>
      <w:bookmarkStart w:id="154" w:name="_Toc189380902"/>
      <w:bookmarkStart w:id="155" w:name="_Toc482815598"/>
      <w:r w:rsidRPr="0056383D">
        <w:rPr>
          <w:snapToGrid w:val="0"/>
        </w:rPr>
        <w:lastRenderedPageBreak/>
        <w:t>Crédit automatique</w:t>
      </w:r>
      <w:bookmarkEnd w:id="154"/>
      <w:bookmarkEnd w:id="155"/>
      <w:r w:rsidR="0041495B">
        <w:rPr>
          <w:snapToGrid w:val="0"/>
        </w:rPr>
        <w:fldChar w:fldCharType="begin"/>
      </w:r>
      <w:r>
        <w:instrText xml:space="preserve"> TC "</w:instrText>
      </w:r>
      <w:bookmarkStart w:id="156" w:name="_Toc189382508"/>
      <w:bookmarkStart w:id="157" w:name="_Toc189382899"/>
      <w:bookmarkStart w:id="158" w:name="_Toc189383113"/>
      <w:bookmarkStart w:id="159" w:name="_Toc189383206"/>
      <w:bookmarkStart w:id="160" w:name="_Toc192996373"/>
      <w:bookmarkStart w:id="161" w:name="_Toc279042794"/>
      <w:r w:rsidRPr="00CF758C">
        <w:rPr>
          <w:snapToGrid w:val="0"/>
        </w:rPr>
        <w:instrText>Crédit automatique</w:instrText>
      </w:r>
      <w:bookmarkEnd w:id="156"/>
      <w:bookmarkEnd w:id="157"/>
      <w:bookmarkEnd w:id="158"/>
      <w:bookmarkEnd w:id="159"/>
      <w:bookmarkEnd w:id="160"/>
      <w:bookmarkEnd w:id="161"/>
      <w:r>
        <w:instrText xml:space="preserve">" \f C \l "4" </w:instrText>
      </w:r>
      <w:r w:rsidR="0041495B">
        <w:rPr>
          <w:snapToGrid w:val="0"/>
        </w:rPr>
        <w:fldChar w:fldCharType="end"/>
      </w:r>
      <w:r w:rsidR="0041495B" w:rsidRPr="0056383D">
        <w:rPr>
          <w:snapToGrid w:val="0"/>
        </w:rPr>
        <w:fldChar w:fldCharType="begin"/>
      </w:r>
      <w:r w:rsidRPr="0056383D">
        <w:rPr>
          <w:snapToGrid w:val="0"/>
        </w:rPr>
        <w:instrText xml:space="preserve"> XE "</w:instrText>
      </w:r>
      <w:r w:rsidRPr="0056383D">
        <w:instrText>Crédit automatique"</w:instrText>
      </w:r>
      <w:r w:rsidRPr="0056383D">
        <w:rPr>
          <w:snapToGrid w:val="0"/>
        </w:rPr>
        <w:instrText xml:space="preserve"> </w:instrText>
      </w:r>
      <w:r w:rsidR="0041495B" w:rsidRPr="0056383D">
        <w:rPr>
          <w:snapToGrid w:val="0"/>
        </w:rPr>
        <w:fldChar w:fldCharType="end"/>
      </w:r>
    </w:p>
    <w:p w14:paraId="0693B523" w14:textId="77777777" w:rsidR="00A53617" w:rsidRPr="0056383D" w:rsidRDefault="00A53617" w:rsidP="00D3604D">
      <w:pPr>
        <w:ind w:right="16"/>
        <w:jc w:val="both"/>
        <w:rPr>
          <w:snapToGrid w:val="0"/>
          <w:color w:val="000000"/>
        </w:rPr>
      </w:pPr>
      <w:r w:rsidRPr="0056383D">
        <w:rPr>
          <w:snapToGrid w:val="0"/>
          <w:color w:val="000000"/>
        </w:rPr>
        <w:t xml:space="preserve">C’est la facilité de caisse dont vous disposez lorsque vous êtes propriétaire d’une carte de banque ou d’une </w:t>
      </w:r>
      <w:bookmarkStart w:id="162" w:name="OLE_LINK73"/>
      <w:bookmarkStart w:id="163" w:name="OLE_LINK74"/>
      <w:r w:rsidRPr="0056383D">
        <w:rPr>
          <w:snapToGrid w:val="0"/>
          <w:color w:val="000000"/>
        </w:rPr>
        <w:t>carte ac</w:t>
      </w:r>
      <w:r>
        <w:rPr>
          <w:snapToGrid w:val="0"/>
          <w:color w:val="000000"/>
        </w:rPr>
        <w:t>c</w:t>
      </w:r>
      <w:r w:rsidRPr="0056383D">
        <w:rPr>
          <w:snapToGrid w:val="0"/>
          <w:color w:val="000000"/>
        </w:rPr>
        <w:t xml:space="preserve">réditive </w:t>
      </w:r>
      <w:bookmarkEnd w:id="162"/>
      <w:bookmarkEnd w:id="163"/>
      <w:r w:rsidRPr="0056383D">
        <w:rPr>
          <w:snapToGrid w:val="0"/>
          <w:color w:val="000000"/>
        </w:rPr>
        <w:t xml:space="preserve">(cela peut varier d’une banque à l’autre). Vous pouvez </w:t>
      </w:r>
      <w:r w:rsidR="00D3604D" w:rsidRPr="0056383D">
        <w:rPr>
          <w:snapToGrid w:val="0"/>
          <w:color w:val="000000"/>
        </w:rPr>
        <w:t>aller</w:t>
      </w:r>
      <w:r w:rsidRPr="0056383D">
        <w:rPr>
          <w:snapToGrid w:val="0"/>
          <w:color w:val="000000"/>
        </w:rPr>
        <w:t xml:space="preserve"> jusqu’à moins 1 250 € sur votre compte courant (moins 2 500 € si vous disposez des deux cartes). Les intérêts sont calculés au jour le jour suivant l’utilisation faite de cette facilité.</w:t>
      </w:r>
    </w:p>
    <w:p w14:paraId="0693B524" w14:textId="77777777" w:rsidR="00A53617" w:rsidRPr="0056383D" w:rsidRDefault="00A53617" w:rsidP="00D3604D">
      <w:pPr>
        <w:ind w:right="16"/>
        <w:jc w:val="both"/>
        <w:rPr>
          <w:snapToGrid w:val="0"/>
          <w:color w:val="000000"/>
        </w:rPr>
      </w:pPr>
      <w:r w:rsidRPr="0056383D">
        <w:rPr>
          <w:snapToGrid w:val="0"/>
          <w:color w:val="000000"/>
        </w:rPr>
        <w:t xml:space="preserve">Contrainte : vous devez revenir en positif au moins une fois par </w:t>
      </w:r>
      <w:r>
        <w:rPr>
          <w:snapToGrid w:val="0"/>
          <w:color w:val="000000"/>
        </w:rPr>
        <w:t>mois</w:t>
      </w:r>
      <w:r>
        <w:rPr>
          <w:rStyle w:val="Appelnotedebasdep"/>
          <w:snapToGrid w:val="0"/>
          <w:color w:val="000000"/>
        </w:rPr>
        <w:footnoteReference w:id="19"/>
      </w:r>
      <w:r w:rsidRPr="0056383D">
        <w:rPr>
          <w:snapToGrid w:val="0"/>
          <w:color w:val="000000"/>
        </w:rPr>
        <w:t>.</w:t>
      </w:r>
    </w:p>
    <w:p w14:paraId="0693B525" w14:textId="77777777" w:rsidR="00A53617" w:rsidRPr="0056383D" w:rsidRDefault="00A53617" w:rsidP="00E101C5">
      <w:pPr>
        <w:pStyle w:val="Titre3"/>
        <w:rPr>
          <w:snapToGrid w:val="0"/>
        </w:rPr>
      </w:pPr>
      <w:bookmarkStart w:id="164" w:name="_Toc189380903"/>
      <w:bookmarkStart w:id="165" w:name="_Toc482815599"/>
      <w:r w:rsidRPr="0056383D">
        <w:rPr>
          <w:snapToGrid w:val="0"/>
        </w:rPr>
        <w:t>Dépassement autorisé</w:t>
      </w:r>
      <w:bookmarkEnd w:id="164"/>
      <w:bookmarkEnd w:id="165"/>
      <w:r w:rsidR="0041495B">
        <w:rPr>
          <w:snapToGrid w:val="0"/>
        </w:rPr>
        <w:fldChar w:fldCharType="begin"/>
      </w:r>
      <w:r>
        <w:instrText xml:space="preserve"> TC "</w:instrText>
      </w:r>
      <w:bookmarkStart w:id="166" w:name="_Toc189382509"/>
      <w:bookmarkStart w:id="167" w:name="_Toc189382900"/>
      <w:bookmarkStart w:id="168" w:name="_Toc189383114"/>
      <w:bookmarkStart w:id="169" w:name="_Toc189383207"/>
      <w:bookmarkStart w:id="170" w:name="_Toc192996374"/>
      <w:bookmarkStart w:id="171" w:name="_Toc279042795"/>
      <w:r w:rsidRPr="00982EFC">
        <w:rPr>
          <w:snapToGrid w:val="0"/>
        </w:rPr>
        <w:instrText>Dépassement autorisé</w:instrText>
      </w:r>
      <w:bookmarkEnd w:id="166"/>
      <w:bookmarkEnd w:id="167"/>
      <w:bookmarkEnd w:id="168"/>
      <w:bookmarkEnd w:id="169"/>
      <w:bookmarkEnd w:id="170"/>
      <w:bookmarkEnd w:id="171"/>
      <w:r>
        <w:instrText xml:space="preserve">" \f C \l "4" </w:instrText>
      </w:r>
      <w:r w:rsidR="0041495B">
        <w:rPr>
          <w:snapToGrid w:val="0"/>
        </w:rPr>
        <w:fldChar w:fldCharType="end"/>
      </w:r>
    </w:p>
    <w:p w14:paraId="0693B526" w14:textId="77777777" w:rsidR="00A53617" w:rsidRPr="0056383D" w:rsidRDefault="00A53617" w:rsidP="00D3604D">
      <w:pPr>
        <w:ind w:right="16"/>
        <w:jc w:val="both"/>
        <w:rPr>
          <w:snapToGrid w:val="0"/>
          <w:color w:val="000000"/>
        </w:rPr>
      </w:pPr>
      <w:r w:rsidRPr="0056383D">
        <w:rPr>
          <w:snapToGrid w:val="0"/>
          <w:color w:val="000000"/>
        </w:rPr>
        <w:t>C’est le même crédit que ci-dessus, mais pour les gens qui ne disposent d’aucune des deux cartes citées. Ce crédit sera évidemment plus coûteux que le précédent, et devra être garanti par  des rentrées futures certaines. De plus, ce type de crédit est toujours de courte durée.</w:t>
      </w:r>
    </w:p>
    <w:p w14:paraId="0693B527" w14:textId="77777777" w:rsidR="00A53617" w:rsidRPr="0056383D" w:rsidRDefault="00A53617" w:rsidP="00E101C5">
      <w:pPr>
        <w:pStyle w:val="Titre3"/>
        <w:rPr>
          <w:snapToGrid w:val="0"/>
        </w:rPr>
      </w:pPr>
      <w:bookmarkStart w:id="172" w:name="_Toc189380904"/>
      <w:bookmarkStart w:id="173" w:name="_Toc482815600"/>
      <w:r w:rsidRPr="0056383D">
        <w:rPr>
          <w:snapToGrid w:val="0"/>
        </w:rPr>
        <w:t>Crédit libre</w:t>
      </w:r>
      <w:bookmarkEnd w:id="172"/>
      <w:bookmarkEnd w:id="173"/>
      <w:r w:rsidR="0041495B" w:rsidRPr="0056383D">
        <w:rPr>
          <w:snapToGrid w:val="0"/>
        </w:rPr>
        <w:fldChar w:fldCharType="begin"/>
      </w:r>
      <w:r w:rsidRPr="0056383D">
        <w:rPr>
          <w:snapToGrid w:val="0"/>
        </w:rPr>
        <w:instrText xml:space="preserve"> XE "</w:instrText>
      </w:r>
      <w:r w:rsidRPr="0056383D">
        <w:instrText>Crédit libre"</w:instrText>
      </w:r>
      <w:r w:rsidRPr="0056383D">
        <w:rPr>
          <w:snapToGrid w:val="0"/>
        </w:rPr>
        <w:instrText xml:space="preserve"> </w:instrText>
      </w:r>
      <w:r w:rsidR="0041495B" w:rsidRPr="0056383D">
        <w:rPr>
          <w:snapToGrid w:val="0"/>
        </w:rPr>
        <w:fldChar w:fldCharType="end"/>
      </w:r>
    </w:p>
    <w:p w14:paraId="0693B528" w14:textId="77777777" w:rsidR="00A53617" w:rsidRPr="0056383D" w:rsidRDefault="00A53617" w:rsidP="00D3604D">
      <w:pPr>
        <w:ind w:right="16"/>
        <w:jc w:val="both"/>
        <w:rPr>
          <w:snapToGrid w:val="0"/>
          <w:color w:val="000000"/>
        </w:rPr>
      </w:pPr>
      <w:r w:rsidRPr="0056383D">
        <w:rPr>
          <w:snapToGrid w:val="0"/>
          <w:color w:val="000000"/>
        </w:rPr>
        <w:t>Il s’agit d’une extension du crédit automatique. Il porte sur des sommes allant de 2 500 € à 12 500 €.</w:t>
      </w:r>
    </w:p>
    <w:p w14:paraId="0693B529" w14:textId="77777777" w:rsidR="00A53617" w:rsidRPr="0056383D" w:rsidRDefault="00A53617" w:rsidP="00D3604D">
      <w:pPr>
        <w:ind w:right="16"/>
        <w:jc w:val="both"/>
        <w:rPr>
          <w:snapToGrid w:val="0"/>
          <w:color w:val="000000"/>
        </w:rPr>
      </w:pPr>
      <w:r w:rsidRPr="0056383D">
        <w:rPr>
          <w:snapToGrid w:val="0"/>
          <w:color w:val="000000"/>
        </w:rPr>
        <w:t xml:space="preserve">Les intérêts sont également calculés au jour le jour en fonction de l’utilisation  qui est faite de la facilité de caisse, mais ils ne sont portés en compte qu’une fois par </w:t>
      </w:r>
      <w:r>
        <w:rPr>
          <w:snapToGrid w:val="0"/>
          <w:color w:val="000000"/>
        </w:rPr>
        <w:t>mois</w:t>
      </w:r>
      <w:r w:rsidRPr="0056383D">
        <w:rPr>
          <w:snapToGrid w:val="0"/>
          <w:color w:val="000000"/>
        </w:rPr>
        <w:t>.</w:t>
      </w:r>
    </w:p>
    <w:p w14:paraId="0693B52A" w14:textId="77777777" w:rsidR="00A53617" w:rsidRPr="0056383D" w:rsidRDefault="00A53617" w:rsidP="00D3604D">
      <w:pPr>
        <w:ind w:right="16"/>
        <w:jc w:val="both"/>
        <w:rPr>
          <w:snapToGrid w:val="0"/>
          <w:color w:val="000000"/>
        </w:rPr>
      </w:pPr>
      <w:r w:rsidRPr="0056383D">
        <w:rPr>
          <w:snapToGrid w:val="0"/>
          <w:color w:val="000000"/>
        </w:rPr>
        <w:t>Comme garantie, le banquier demande la domiciliation des revenus du client chez lui.</w:t>
      </w:r>
    </w:p>
    <w:p w14:paraId="0693B52B" w14:textId="77777777" w:rsidR="00A53617" w:rsidRPr="0056383D" w:rsidRDefault="00A53617" w:rsidP="00E101C5">
      <w:pPr>
        <w:pStyle w:val="Titre3"/>
        <w:rPr>
          <w:snapToGrid w:val="0"/>
        </w:rPr>
      </w:pPr>
      <w:bookmarkStart w:id="174" w:name="_Toc189380905"/>
      <w:bookmarkStart w:id="175" w:name="_Toc482815601"/>
      <w:r w:rsidRPr="0056383D">
        <w:rPr>
          <w:snapToGrid w:val="0"/>
        </w:rPr>
        <w:t>Crédit de trésorerie</w:t>
      </w:r>
      <w:bookmarkEnd w:id="174"/>
      <w:bookmarkEnd w:id="175"/>
      <w:r w:rsidR="0041495B">
        <w:rPr>
          <w:snapToGrid w:val="0"/>
        </w:rPr>
        <w:fldChar w:fldCharType="begin"/>
      </w:r>
      <w:r>
        <w:instrText xml:space="preserve"> TC "</w:instrText>
      </w:r>
      <w:bookmarkStart w:id="176" w:name="_Toc189382510"/>
      <w:bookmarkStart w:id="177" w:name="_Toc189382901"/>
      <w:bookmarkStart w:id="178" w:name="_Toc189383115"/>
      <w:bookmarkStart w:id="179" w:name="_Toc189383208"/>
      <w:bookmarkStart w:id="180" w:name="_Toc192996375"/>
      <w:bookmarkStart w:id="181" w:name="_Toc279042796"/>
      <w:r w:rsidRPr="00CB15E1">
        <w:rPr>
          <w:snapToGrid w:val="0"/>
        </w:rPr>
        <w:instrText>Crédit de trésorerie</w:instrText>
      </w:r>
      <w:bookmarkEnd w:id="176"/>
      <w:bookmarkEnd w:id="177"/>
      <w:bookmarkEnd w:id="178"/>
      <w:bookmarkEnd w:id="179"/>
      <w:bookmarkEnd w:id="180"/>
      <w:bookmarkEnd w:id="181"/>
      <w:r>
        <w:instrText xml:space="preserve">" \f C \l "4" </w:instrText>
      </w:r>
      <w:r w:rsidR="0041495B">
        <w:rPr>
          <w:snapToGrid w:val="0"/>
        </w:rPr>
        <w:fldChar w:fldCharType="end"/>
      </w:r>
      <w:r w:rsidR="0041495B" w:rsidRPr="0056383D">
        <w:rPr>
          <w:snapToGrid w:val="0"/>
        </w:rPr>
        <w:fldChar w:fldCharType="begin"/>
      </w:r>
      <w:r w:rsidRPr="0056383D">
        <w:rPr>
          <w:snapToGrid w:val="0"/>
        </w:rPr>
        <w:instrText xml:space="preserve"> XE "</w:instrText>
      </w:r>
      <w:r w:rsidRPr="0056383D">
        <w:instrText>Crédit de trésorerie"</w:instrText>
      </w:r>
      <w:r w:rsidRPr="0056383D">
        <w:rPr>
          <w:snapToGrid w:val="0"/>
        </w:rPr>
        <w:instrText xml:space="preserve"> </w:instrText>
      </w:r>
      <w:r w:rsidR="0041495B" w:rsidRPr="0056383D">
        <w:rPr>
          <w:snapToGrid w:val="0"/>
        </w:rPr>
        <w:fldChar w:fldCharType="end"/>
      </w:r>
    </w:p>
    <w:p w14:paraId="0693B52C" w14:textId="77777777" w:rsidR="00A53617" w:rsidRPr="0056383D" w:rsidRDefault="00A53617" w:rsidP="00D3604D">
      <w:pPr>
        <w:ind w:right="16"/>
        <w:jc w:val="both"/>
        <w:rPr>
          <w:snapToGrid w:val="0"/>
          <w:color w:val="000000"/>
        </w:rPr>
      </w:pPr>
      <w:r w:rsidRPr="0056383D">
        <w:rPr>
          <w:snapToGrid w:val="0"/>
          <w:color w:val="000000"/>
        </w:rPr>
        <w:t>Pour les “ bons ” clients, le banquier a prévu une nouvelle extension du crédit précédent, pour des sommes allant à présent de 10 000 € à 25 000 €.</w:t>
      </w:r>
      <w:r>
        <w:rPr>
          <w:snapToGrid w:val="0"/>
          <w:color w:val="000000"/>
        </w:rPr>
        <w:t xml:space="preserve"> Taux appliqué : +/- 8 %.</w:t>
      </w:r>
    </w:p>
    <w:p w14:paraId="0693B52D" w14:textId="77777777" w:rsidR="00A53617" w:rsidRPr="0056383D" w:rsidRDefault="00A53617" w:rsidP="00E101C5">
      <w:pPr>
        <w:pStyle w:val="Titre3"/>
        <w:rPr>
          <w:snapToGrid w:val="0"/>
        </w:rPr>
      </w:pPr>
      <w:bookmarkStart w:id="182" w:name="_Toc189380906"/>
      <w:bookmarkStart w:id="183" w:name="_Toc482815602"/>
      <w:r w:rsidRPr="0056383D">
        <w:rPr>
          <w:snapToGrid w:val="0"/>
        </w:rPr>
        <w:t>Le P.A.T.</w:t>
      </w:r>
      <w:r w:rsidR="0041495B">
        <w:rPr>
          <w:snapToGrid w:val="0"/>
        </w:rPr>
        <w:fldChar w:fldCharType="begin"/>
      </w:r>
      <w:r>
        <w:instrText xml:space="preserve"> TC "</w:instrText>
      </w:r>
      <w:bookmarkStart w:id="184" w:name="_Toc189382511"/>
      <w:bookmarkStart w:id="185" w:name="_Toc189382902"/>
      <w:bookmarkStart w:id="186" w:name="_Toc189383116"/>
      <w:bookmarkStart w:id="187" w:name="_Toc189383209"/>
      <w:bookmarkStart w:id="188" w:name="_Toc192996376"/>
      <w:bookmarkStart w:id="189" w:name="_Toc279042797"/>
      <w:r w:rsidRPr="009E015A">
        <w:rPr>
          <w:snapToGrid w:val="0"/>
        </w:rPr>
        <w:instrText>Le P.A.T.</w:instrText>
      </w:r>
      <w:bookmarkEnd w:id="184"/>
      <w:bookmarkEnd w:id="185"/>
      <w:bookmarkEnd w:id="186"/>
      <w:bookmarkEnd w:id="187"/>
      <w:bookmarkEnd w:id="188"/>
      <w:bookmarkEnd w:id="189"/>
      <w:r>
        <w:instrText xml:space="preserve">" \f C \l "4" </w:instrText>
      </w:r>
      <w:r w:rsidR="0041495B">
        <w:rPr>
          <w:snapToGrid w:val="0"/>
        </w:rPr>
        <w:fldChar w:fldCharType="end"/>
      </w:r>
      <w:r>
        <w:rPr>
          <w:snapToGrid w:val="0"/>
        </w:rPr>
        <w:t xml:space="preserve"> (</w:t>
      </w:r>
      <w:r w:rsidRPr="0056383D">
        <w:rPr>
          <w:snapToGrid w:val="0"/>
        </w:rPr>
        <w:t>prêt à tempérament</w:t>
      </w:r>
      <w:r>
        <w:rPr>
          <w:snapToGrid w:val="0"/>
        </w:rPr>
        <w:t xml:space="preserve"> ou prêt à la consommation</w:t>
      </w:r>
      <w:r w:rsidRPr="0056383D">
        <w:rPr>
          <w:snapToGrid w:val="0"/>
        </w:rPr>
        <w:t>)</w:t>
      </w:r>
      <w:bookmarkEnd w:id="182"/>
      <w:bookmarkEnd w:id="183"/>
    </w:p>
    <w:p w14:paraId="0693B52E" w14:textId="77777777" w:rsidR="00A53617" w:rsidRPr="0056383D" w:rsidRDefault="00A53617" w:rsidP="00D3604D">
      <w:pPr>
        <w:ind w:right="16"/>
        <w:jc w:val="both"/>
        <w:rPr>
          <w:snapToGrid w:val="0"/>
          <w:color w:val="000000"/>
        </w:rPr>
      </w:pPr>
      <w:r w:rsidRPr="0056383D">
        <w:rPr>
          <w:snapToGrid w:val="0"/>
          <w:color w:val="000000"/>
        </w:rPr>
        <w:t xml:space="preserve">Ce type de crédit se caractérise par le fait que le banquier, dans ce cas-ci, fournit au client </w:t>
      </w:r>
      <w:r>
        <w:rPr>
          <w:snapToGrid w:val="0"/>
          <w:color w:val="000000"/>
        </w:rPr>
        <w:t xml:space="preserve">(au moins 18 ans, domicilié en Belgique) </w:t>
      </w:r>
      <w:r w:rsidRPr="0056383D">
        <w:rPr>
          <w:snapToGrid w:val="0"/>
          <w:color w:val="000000"/>
        </w:rPr>
        <w:t>une somme pouvant aller de 1 </w:t>
      </w:r>
      <w:r>
        <w:rPr>
          <w:snapToGrid w:val="0"/>
          <w:color w:val="000000"/>
        </w:rPr>
        <w:t>00</w:t>
      </w:r>
      <w:r w:rsidRPr="0056383D">
        <w:rPr>
          <w:snapToGrid w:val="0"/>
          <w:color w:val="000000"/>
        </w:rPr>
        <w:t xml:space="preserve">0 € à </w:t>
      </w:r>
      <w:r>
        <w:rPr>
          <w:snapToGrid w:val="0"/>
          <w:color w:val="000000"/>
        </w:rPr>
        <w:t>50</w:t>
      </w:r>
      <w:r w:rsidRPr="0056383D">
        <w:rPr>
          <w:snapToGrid w:val="0"/>
          <w:color w:val="000000"/>
        </w:rPr>
        <w:t> 000 €</w:t>
      </w:r>
    </w:p>
    <w:p w14:paraId="0693B52F" w14:textId="77777777" w:rsidR="00A53617" w:rsidRPr="0056383D" w:rsidRDefault="00A53617" w:rsidP="00D3604D">
      <w:pPr>
        <w:ind w:right="16"/>
        <w:jc w:val="both"/>
        <w:rPr>
          <w:snapToGrid w:val="0"/>
          <w:color w:val="000000"/>
        </w:rPr>
      </w:pPr>
      <w:r w:rsidRPr="0056383D">
        <w:rPr>
          <w:snapToGrid w:val="0"/>
          <w:color w:val="000000"/>
        </w:rPr>
        <w:t>Cette somme est remboursable, avec les intérêts, tous les mois. Il faut qu’il y ait au moins 4 mensualités</w:t>
      </w:r>
      <w:r>
        <w:rPr>
          <w:snapToGrid w:val="0"/>
          <w:color w:val="000000"/>
        </w:rPr>
        <w:t xml:space="preserve"> (12 en général) et 120 au maximum</w:t>
      </w:r>
      <w:r w:rsidRPr="0056383D">
        <w:rPr>
          <w:snapToGrid w:val="0"/>
          <w:color w:val="000000"/>
        </w:rPr>
        <w:t>. C’est le taux de chargement qui permet de calculer le remboursement périodique. Ce taux est lui-même calculé à partir du taux annuel. Il ne peut pas dépasser le taux de chargement officiellement fixé par la loi.</w:t>
      </w:r>
      <w:r>
        <w:rPr>
          <w:snapToGrid w:val="0"/>
          <w:color w:val="000000"/>
        </w:rPr>
        <w:t xml:space="preserve"> Il est souvent assorti d’une assurance PAT (assurance décès).</w:t>
      </w:r>
    </w:p>
    <w:p w14:paraId="0693B530" w14:textId="77777777" w:rsidR="00A53617" w:rsidRPr="0056383D" w:rsidRDefault="00A53617" w:rsidP="00D3604D">
      <w:pPr>
        <w:ind w:right="16"/>
        <w:jc w:val="both"/>
        <w:rPr>
          <w:snapToGrid w:val="0"/>
          <w:color w:val="000000"/>
        </w:rPr>
      </w:pPr>
      <w:r w:rsidRPr="0056383D">
        <w:rPr>
          <w:snapToGrid w:val="0"/>
          <w:color w:val="000000"/>
        </w:rPr>
        <w:t>Le PAT</w:t>
      </w:r>
      <w:r w:rsidR="0041495B" w:rsidRPr="0056383D">
        <w:rPr>
          <w:snapToGrid w:val="0"/>
          <w:color w:val="000000"/>
        </w:rPr>
        <w:fldChar w:fldCharType="begin"/>
      </w:r>
      <w:r w:rsidRPr="0056383D">
        <w:rPr>
          <w:snapToGrid w:val="0"/>
          <w:color w:val="000000"/>
        </w:rPr>
        <w:instrText xml:space="preserve"> XE "</w:instrText>
      </w:r>
      <w:r w:rsidRPr="0056383D">
        <w:instrText>PAT"</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peut être :</w:t>
      </w:r>
    </w:p>
    <w:p w14:paraId="0693B531" w14:textId="77777777" w:rsidR="00A53617" w:rsidRPr="0056383D" w:rsidRDefault="00E33358" w:rsidP="001F7D23">
      <w:pPr>
        <w:pStyle w:val="Titre4"/>
        <w:rPr>
          <w:snapToGrid w:val="0"/>
        </w:rPr>
      </w:pPr>
      <w:bookmarkStart w:id="190" w:name="_Toc189380907"/>
      <w:r>
        <w:rPr>
          <w:snapToGrid w:val="0"/>
        </w:rPr>
        <w:t>A</w:t>
      </w:r>
      <w:r w:rsidR="00A53617" w:rsidRPr="0056383D">
        <w:rPr>
          <w:snapToGrid w:val="0"/>
        </w:rPr>
        <w:t>vec objet</w:t>
      </w:r>
      <w:r w:rsidR="00A53617">
        <w:rPr>
          <w:snapToGrid w:val="0"/>
        </w:rPr>
        <w:t xml:space="preserve"> (+/-6 %)</w:t>
      </w:r>
      <w:bookmarkEnd w:id="190"/>
    </w:p>
    <w:p w14:paraId="0693B532" w14:textId="77777777" w:rsidR="00A53617" w:rsidRPr="0056383D" w:rsidRDefault="00A53617" w:rsidP="00D3604D">
      <w:pPr>
        <w:ind w:right="16"/>
        <w:jc w:val="both"/>
        <w:rPr>
          <w:snapToGrid w:val="0"/>
          <w:color w:val="000000"/>
        </w:rPr>
      </w:pPr>
      <w:r w:rsidRPr="0056383D">
        <w:rPr>
          <w:snapToGrid w:val="0"/>
          <w:color w:val="000000"/>
        </w:rPr>
        <w:t>Il est le moins cher des deux car le crédit est fourni sur présentation d’une facture attestant l’achat d’un bien meuble corporel. Le banquier sait donc à quoi servira “ son ” argent.</w:t>
      </w:r>
    </w:p>
    <w:p w14:paraId="0693B533" w14:textId="77777777" w:rsidR="00A53617" w:rsidRPr="0056383D" w:rsidRDefault="00E33358" w:rsidP="001F7D23">
      <w:pPr>
        <w:pStyle w:val="Titre4"/>
        <w:rPr>
          <w:snapToGrid w:val="0"/>
        </w:rPr>
      </w:pPr>
      <w:bookmarkStart w:id="191" w:name="_Toc189380908"/>
      <w:r>
        <w:rPr>
          <w:snapToGrid w:val="0"/>
        </w:rPr>
        <w:lastRenderedPageBreak/>
        <w:t>S</w:t>
      </w:r>
      <w:r w:rsidR="00A53617" w:rsidRPr="0056383D">
        <w:rPr>
          <w:snapToGrid w:val="0"/>
        </w:rPr>
        <w:t>ans objet</w:t>
      </w:r>
      <w:r w:rsidR="00A53617">
        <w:rPr>
          <w:snapToGrid w:val="0"/>
        </w:rPr>
        <w:t xml:space="preserve"> (+/-12 %)</w:t>
      </w:r>
      <w:bookmarkEnd w:id="191"/>
    </w:p>
    <w:p w14:paraId="0693B534" w14:textId="77777777" w:rsidR="00A53617" w:rsidRPr="0056383D" w:rsidRDefault="00A53617" w:rsidP="00D3604D">
      <w:pPr>
        <w:ind w:right="16"/>
        <w:jc w:val="both"/>
        <w:rPr>
          <w:snapToGrid w:val="0"/>
          <w:color w:val="000000"/>
        </w:rPr>
      </w:pPr>
      <w:r w:rsidRPr="0056383D">
        <w:rPr>
          <w:snapToGrid w:val="0"/>
          <w:color w:val="000000"/>
        </w:rPr>
        <w:t xml:space="preserve">Il coûte légèrement plus cher que le précédent car dans ce cas-ci, le banquier n’est pas certain de l’usage qui sera fait de “ son ” argent. Il s’agit en effet d’un crédit octroyé pour faire face à des événements imprévus comme des problèmes familiaux par exemple </w:t>
      </w:r>
      <w:r>
        <w:rPr>
          <w:snapToGrid w:val="0"/>
          <w:color w:val="000000"/>
        </w:rPr>
        <w:t>ou une entrée en clinique, etc.</w:t>
      </w:r>
    </w:p>
    <w:p w14:paraId="0693B535" w14:textId="77777777" w:rsidR="00A53617" w:rsidRPr="0056383D" w:rsidRDefault="00A53617" w:rsidP="00E101C5">
      <w:pPr>
        <w:pStyle w:val="Titre3"/>
        <w:rPr>
          <w:snapToGrid w:val="0"/>
        </w:rPr>
      </w:pPr>
      <w:bookmarkStart w:id="192" w:name="_Toc189380909"/>
      <w:bookmarkStart w:id="193" w:name="_Toc482815603"/>
      <w:r w:rsidRPr="0056383D">
        <w:rPr>
          <w:snapToGrid w:val="0"/>
        </w:rPr>
        <w:t>Crédit au logement</w:t>
      </w:r>
      <w:r w:rsidR="0041495B">
        <w:rPr>
          <w:snapToGrid w:val="0"/>
        </w:rPr>
        <w:fldChar w:fldCharType="begin"/>
      </w:r>
      <w:r>
        <w:instrText xml:space="preserve"> TC "</w:instrText>
      </w:r>
      <w:bookmarkStart w:id="194" w:name="_Toc189382512"/>
      <w:bookmarkStart w:id="195" w:name="_Toc189382903"/>
      <w:bookmarkStart w:id="196" w:name="_Toc189383117"/>
      <w:bookmarkStart w:id="197" w:name="_Toc189383210"/>
      <w:bookmarkStart w:id="198" w:name="_Toc192996377"/>
      <w:bookmarkStart w:id="199" w:name="_Toc279042798"/>
      <w:r w:rsidRPr="002A2B24">
        <w:rPr>
          <w:snapToGrid w:val="0"/>
        </w:rPr>
        <w:instrText>Crédit au logement</w:instrText>
      </w:r>
      <w:bookmarkEnd w:id="194"/>
      <w:bookmarkEnd w:id="195"/>
      <w:bookmarkEnd w:id="196"/>
      <w:bookmarkEnd w:id="197"/>
      <w:bookmarkEnd w:id="198"/>
      <w:bookmarkEnd w:id="199"/>
      <w:r>
        <w:instrText xml:space="preserve">" \f C \l "4" </w:instrText>
      </w:r>
      <w:r w:rsidR="0041495B">
        <w:rPr>
          <w:snapToGrid w:val="0"/>
        </w:rPr>
        <w:fldChar w:fldCharType="end"/>
      </w:r>
      <w:r>
        <w:rPr>
          <w:rStyle w:val="Appelnotedebasdep"/>
          <w:b w:val="0"/>
          <w:snapToGrid w:val="0"/>
          <w:color w:val="000000"/>
        </w:rPr>
        <w:footnoteReference w:id="20"/>
      </w:r>
      <w:bookmarkEnd w:id="192"/>
      <w:bookmarkEnd w:id="193"/>
    </w:p>
    <w:p w14:paraId="0693B536" w14:textId="77777777" w:rsidR="00A53617" w:rsidRPr="0056383D" w:rsidRDefault="00A53617" w:rsidP="00D3604D">
      <w:pPr>
        <w:ind w:right="16"/>
        <w:jc w:val="both"/>
        <w:rPr>
          <w:snapToGrid w:val="0"/>
          <w:color w:val="000000"/>
        </w:rPr>
      </w:pPr>
      <w:r w:rsidRPr="0056383D">
        <w:rPr>
          <w:snapToGrid w:val="0"/>
          <w:color w:val="000000"/>
        </w:rPr>
        <w:t xml:space="preserve">Ce crédit remplace l’ancien crédit hypothécaire. Il ne peut porter sur plus de </w:t>
      </w:r>
      <w:r>
        <w:rPr>
          <w:snapToGrid w:val="0"/>
          <w:color w:val="000000"/>
        </w:rPr>
        <w:t>4</w:t>
      </w:r>
      <w:r w:rsidRPr="0056383D">
        <w:rPr>
          <w:snapToGrid w:val="0"/>
          <w:color w:val="000000"/>
        </w:rPr>
        <w:t>0 ans</w:t>
      </w:r>
      <w:r w:rsidRPr="006C2496">
        <w:rPr>
          <w:rStyle w:val="Appelnotedebasdep"/>
          <w:snapToGrid w:val="0"/>
          <w:color w:val="000000"/>
        </w:rPr>
        <w:footnoteReference w:id="21"/>
      </w:r>
      <w:r w:rsidRPr="0056383D">
        <w:rPr>
          <w:snapToGrid w:val="0"/>
          <w:color w:val="000000"/>
        </w:rPr>
        <w:t xml:space="preserve"> (</w:t>
      </w:r>
      <w:r>
        <w:rPr>
          <w:snapToGrid w:val="0"/>
          <w:color w:val="000000"/>
        </w:rPr>
        <w:t xml:space="preserve">conditions plus restrictives </w:t>
      </w:r>
      <w:r w:rsidRPr="0056383D">
        <w:rPr>
          <w:snapToGrid w:val="0"/>
          <w:color w:val="000000"/>
        </w:rPr>
        <w:t>s’il s’agit d’une résidence secondaire</w:t>
      </w:r>
      <w:r>
        <w:rPr>
          <w:snapToGrid w:val="0"/>
          <w:color w:val="000000"/>
        </w:rPr>
        <w:t xml:space="preserve"> ou </w:t>
      </w:r>
      <w:r w:rsidRPr="0056383D">
        <w:rPr>
          <w:snapToGrid w:val="0"/>
          <w:color w:val="000000"/>
        </w:rPr>
        <w:t>d’un terrain)</w:t>
      </w:r>
      <w:r>
        <w:rPr>
          <w:snapToGrid w:val="0"/>
          <w:color w:val="000000"/>
        </w:rPr>
        <w:t xml:space="preserve"> pour les prêts à taux fixes, 30 ans pour les prêts à taux variables</w:t>
      </w:r>
      <w:r w:rsidRPr="0056383D">
        <w:rPr>
          <w:snapToGrid w:val="0"/>
          <w:color w:val="000000"/>
        </w:rPr>
        <w:t>.</w:t>
      </w:r>
      <w:r>
        <w:rPr>
          <w:snapToGrid w:val="0"/>
          <w:color w:val="000000"/>
        </w:rPr>
        <w:t xml:space="preserve"> </w:t>
      </w:r>
      <w:r w:rsidRPr="0056383D">
        <w:rPr>
          <w:snapToGrid w:val="0"/>
          <w:color w:val="000000"/>
        </w:rPr>
        <w:t>Le client ne peut avoir plus de 6</w:t>
      </w:r>
      <w:r>
        <w:rPr>
          <w:snapToGrid w:val="0"/>
          <w:color w:val="000000"/>
        </w:rPr>
        <w:t>8</w:t>
      </w:r>
      <w:r w:rsidRPr="0056383D">
        <w:rPr>
          <w:snapToGrid w:val="0"/>
          <w:color w:val="000000"/>
        </w:rPr>
        <w:t xml:space="preserve"> ans</w:t>
      </w:r>
      <w:r>
        <w:rPr>
          <w:snapToGrid w:val="0"/>
          <w:color w:val="000000"/>
        </w:rPr>
        <w:t xml:space="preserve"> à la date du dernier remboursement. Le minimum emprunté est de 10 000 € et il faut être domicilié en Belgique (et avoir plus de 18 ans).</w:t>
      </w:r>
    </w:p>
    <w:p w14:paraId="0693B537" w14:textId="77777777" w:rsidR="00A53617" w:rsidRPr="0056383D" w:rsidRDefault="00A53617" w:rsidP="00D3604D">
      <w:pPr>
        <w:ind w:right="16"/>
        <w:jc w:val="both"/>
        <w:rPr>
          <w:snapToGrid w:val="0"/>
          <w:color w:val="000000"/>
        </w:rPr>
      </w:pPr>
      <w:r w:rsidRPr="0056383D">
        <w:rPr>
          <w:snapToGrid w:val="0"/>
          <w:color w:val="000000"/>
        </w:rPr>
        <w:t>Le prêt est garanti par l’hypothèque du bien financé, plus une assurance “ solde restant dû ” ou une assurance vie, plus l’obligation de domicilier les revenus du client dans la banque octroyant le crédit.</w:t>
      </w:r>
    </w:p>
    <w:p w14:paraId="0693B538" w14:textId="77777777" w:rsidR="00A53617" w:rsidRPr="0056383D" w:rsidRDefault="00A53617" w:rsidP="00D3604D">
      <w:pPr>
        <w:ind w:right="16"/>
        <w:jc w:val="both"/>
        <w:rPr>
          <w:snapToGrid w:val="0"/>
          <w:color w:val="000000"/>
        </w:rPr>
      </w:pPr>
      <w:r w:rsidRPr="0056383D">
        <w:rPr>
          <w:snapToGrid w:val="0"/>
          <w:color w:val="000000"/>
        </w:rPr>
        <w:t>Le taux d’intérêt est mensuel. Il est révisable suivant un terme déterminé avec le client (tous les ans, ou tous les 2, 3, 5, 10 ans, par exemple). Il peut même être fixe. Dans ce cas on parlera de taux fixe conditionnel. Il ne sera en effet jamais totalement fixe, mais conditionné, par exemple, à la souscription</w:t>
      </w:r>
      <w:r w:rsidR="0041495B" w:rsidRPr="0056383D">
        <w:rPr>
          <w:snapToGrid w:val="0"/>
          <w:color w:val="000000"/>
        </w:rPr>
        <w:fldChar w:fldCharType="begin"/>
      </w:r>
      <w:r w:rsidRPr="0056383D">
        <w:rPr>
          <w:snapToGrid w:val="0"/>
          <w:color w:val="000000"/>
        </w:rPr>
        <w:instrText xml:space="preserve"> XE "</w:instrText>
      </w:r>
      <w:r w:rsidRPr="0056383D">
        <w:instrText>souscription"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par le client à un plan épargne logement.</w:t>
      </w:r>
    </w:p>
    <w:p w14:paraId="0693B539" w14:textId="77777777" w:rsidR="00A53617" w:rsidRPr="0056383D" w:rsidRDefault="00A53617" w:rsidP="00A53617">
      <w:pPr>
        <w:spacing w:before="240"/>
        <w:ind w:right="16"/>
        <w:jc w:val="both"/>
        <w:rPr>
          <w:snapToGrid w:val="0"/>
          <w:color w:val="000000"/>
        </w:rPr>
      </w:pPr>
      <w:r w:rsidRPr="0056383D">
        <w:rPr>
          <w:snapToGrid w:val="0"/>
          <w:color w:val="000000"/>
        </w:rPr>
        <w:t xml:space="preserve">Signalons encore des crédits moins utilisés comme </w:t>
      </w:r>
      <w:r w:rsidRPr="0056383D">
        <w:rPr>
          <w:b/>
          <w:snapToGrid w:val="0"/>
          <w:color w:val="000000"/>
        </w:rPr>
        <w:t>l’avance sur compte à terme</w:t>
      </w:r>
      <w:r w:rsidRPr="0056383D">
        <w:rPr>
          <w:snapToGrid w:val="0"/>
          <w:color w:val="000000"/>
        </w:rPr>
        <w:t xml:space="preserve"> et le </w:t>
      </w:r>
      <w:r w:rsidRPr="0056383D">
        <w:rPr>
          <w:b/>
          <w:snapToGrid w:val="0"/>
          <w:color w:val="000000"/>
        </w:rPr>
        <w:t>crédit Campus</w:t>
      </w:r>
      <w:r w:rsidRPr="0056383D">
        <w:rPr>
          <w:snapToGrid w:val="0"/>
          <w:color w:val="000000"/>
        </w:rPr>
        <w:t>.</w:t>
      </w:r>
    </w:p>
    <w:p w14:paraId="0693B53A" w14:textId="77777777" w:rsidR="00A53617" w:rsidRPr="0056383D" w:rsidRDefault="00A53617" w:rsidP="00A53617">
      <w:pPr>
        <w:spacing w:before="240"/>
        <w:ind w:right="16"/>
        <w:jc w:val="both"/>
        <w:rPr>
          <w:snapToGrid w:val="0"/>
          <w:color w:val="000000"/>
        </w:rPr>
      </w:pPr>
      <w:r w:rsidRPr="0056383D">
        <w:rPr>
          <w:snapToGrid w:val="0"/>
          <w:color w:val="000000"/>
        </w:rPr>
        <w:t>Voici à présent un tableau indicatif des principaux taux constatés en février 1996 (extrait de la Libre Entreprise du 17 février 1996) :</w:t>
      </w:r>
    </w:p>
    <w:p w14:paraId="0693B53B" w14:textId="77777777" w:rsidR="00A53617" w:rsidRPr="0056383D" w:rsidRDefault="00A53617" w:rsidP="00A53617">
      <w:pPr>
        <w:spacing w:before="240"/>
        <w:ind w:right="16"/>
        <w:jc w:val="both"/>
        <w:rPr>
          <w:snapToGrid w:val="0"/>
          <w:color w:val="000000"/>
        </w:rPr>
      </w:pPr>
    </w:p>
    <w:p w14:paraId="0693B53C"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Nature</w:t>
      </w:r>
      <w:r w:rsidRPr="00F57609">
        <w:rPr>
          <w:b/>
          <w:snapToGrid w:val="0"/>
          <w:color w:val="000000"/>
          <w:sz w:val="16"/>
          <w:szCs w:val="18"/>
        </w:rPr>
        <w:tab/>
        <w:t>Taux</w:t>
      </w:r>
      <w:r w:rsidRPr="00F57609">
        <w:rPr>
          <w:b/>
          <w:snapToGrid w:val="0"/>
          <w:color w:val="000000"/>
          <w:sz w:val="16"/>
          <w:szCs w:val="18"/>
        </w:rPr>
        <w:tab/>
        <w:t>Caractéristiques</w:t>
      </w:r>
      <w:r w:rsidRPr="00F57609">
        <w:rPr>
          <w:snapToGrid w:val="0"/>
          <w:color w:val="000000"/>
          <w:sz w:val="16"/>
          <w:szCs w:val="18"/>
        </w:rPr>
        <w:tab/>
      </w:r>
      <w:r w:rsidRPr="00F57609">
        <w:rPr>
          <w:snapToGrid w:val="0"/>
          <w:color w:val="000000"/>
          <w:sz w:val="16"/>
          <w:szCs w:val="18"/>
        </w:rPr>
        <w:tab/>
      </w:r>
      <w:r w:rsidRPr="00F57609">
        <w:rPr>
          <w:snapToGrid w:val="0"/>
          <w:color w:val="000000"/>
          <w:sz w:val="16"/>
          <w:szCs w:val="18"/>
        </w:rPr>
        <w:tab/>
      </w:r>
      <w:r w:rsidRPr="00F57609">
        <w:rPr>
          <w:snapToGrid w:val="0"/>
          <w:color w:val="000000"/>
          <w:sz w:val="16"/>
          <w:szCs w:val="18"/>
        </w:rPr>
        <w:tab/>
      </w:r>
    </w:p>
    <w:p w14:paraId="53F9676A" w14:textId="77777777" w:rsidR="00F57609" w:rsidRDefault="00F57609" w:rsidP="00A53617">
      <w:pPr>
        <w:tabs>
          <w:tab w:val="left" w:pos="2835"/>
          <w:tab w:val="left" w:pos="4252"/>
          <w:tab w:val="left" w:pos="4536"/>
        </w:tabs>
        <w:ind w:left="283"/>
        <w:jc w:val="both"/>
        <w:rPr>
          <w:b/>
          <w:snapToGrid w:val="0"/>
          <w:color w:val="000000"/>
          <w:sz w:val="16"/>
          <w:szCs w:val="18"/>
        </w:rPr>
      </w:pPr>
    </w:p>
    <w:p w14:paraId="0693B53D"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 xml:space="preserve">Découverts en compte </w:t>
      </w:r>
      <w:r w:rsidRPr="00F57609">
        <w:rPr>
          <w:b/>
          <w:snapToGrid w:val="0"/>
          <w:color w:val="000000"/>
          <w:sz w:val="16"/>
          <w:szCs w:val="18"/>
        </w:rPr>
        <w:tab/>
      </w:r>
      <w:r w:rsidRPr="00F57609">
        <w:rPr>
          <w:snapToGrid w:val="0"/>
          <w:color w:val="000000"/>
          <w:sz w:val="16"/>
          <w:szCs w:val="18"/>
        </w:rPr>
        <w:t xml:space="preserve">de </w:t>
      </w:r>
      <w:r w:rsidR="009B4788" w:rsidRPr="00F57609">
        <w:rPr>
          <w:snapToGrid w:val="0"/>
          <w:color w:val="000000"/>
          <w:sz w:val="16"/>
          <w:szCs w:val="18"/>
        </w:rPr>
        <w:t>9</w:t>
      </w:r>
      <w:r w:rsidRPr="00F57609">
        <w:rPr>
          <w:snapToGrid w:val="0"/>
          <w:color w:val="000000"/>
          <w:sz w:val="16"/>
          <w:szCs w:val="18"/>
        </w:rPr>
        <w:t xml:space="preserve"> à 20 %</w:t>
      </w:r>
      <w:r w:rsidRPr="00F57609">
        <w:rPr>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Solvabilité incertaine</w:t>
      </w:r>
    </w:p>
    <w:p w14:paraId="0693B53E"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et crédits permanents</w:t>
      </w: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Liquidité complète</w:t>
      </w:r>
    </w:p>
    <w:p w14:paraId="0693B53F"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Petits montants - Périodes courtes</w:t>
      </w:r>
      <w:r w:rsidRPr="00F57609">
        <w:rPr>
          <w:snapToGrid w:val="0"/>
          <w:color w:val="000000"/>
          <w:sz w:val="16"/>
          <w:szCs w:val="18"/>
        </w:rPr>
        <w:tab/>
      </w:r>
      <w:r w:rsidRPr="00F57609">
        <w:rPr>
          <w:snapToGrid w:val="0"/>
          <w:color w:val="000000"/>
          <w:sz w:val="16"/>
          <w:szCs w:val="18"/>
        </w:rPr>
        <w:tab/>
      </w:r>
    </w:p>
    <w:p w14:paraId="204D63C6" w14:textId="77777777" w:rsidR="00F57609" w:rsidRDefault="00F57609" w:rsidP="00A53617">
      <w:pPr>
        <w:tabs>
          <w:tab w:val="left" w:pos="2835"/>
          <w:tab w:val="left" w:pos="4252"/>
          <w:tab w:val="left" w:pos="4536"/>
        </w:tabs>
        <w:ind w:left="283"/>
        <w:jc w:val="both"/>
        <w:rPr>
          <w:b/>
          <w:snapToGrid w:val="0"/>
          <w:color w:val="000000"/>
          <w:sz w:val="16"/>
          <w:szCs w:val="18"/>
        </w:rPr>
      </w:pPr>
    </w:p>
    <w:p w14:paraId="0693B540"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Prêts personnels</w:t>
      </w:r>
      <w:r w:rsidRPr="00F57609">
        <w:rPr>
          <w:b/>
          <w:snapToGrid w:val="0"/>
          <w:color w:val="000000"/>
          <w:sz w:val="16"/>
          <w:szCs w:val="18"/>
        </w:rPr>
        <w:tab/>
      </w:r>
      <w:r w:rsidRPr="00F57609">
        <w:rPr>
          <w:snapToGrid w:val="0"/>
          <w:color w:val="000000"/>
          <w:sz w:val="16"/>
          <w:szCs w:val="18"/>
        </w:rPr>
        <w:t>de 12 à 17 %</w:t>
      </w:r>
      <w:r w:rsidRPr="00F57609">
        <w:rPr>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Montants un peu plus importants</w:t>
      </w:r>
    </w:p>
    <w:p w14:paraId="0693B541"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Meilleure connaissance de la solvabilité</w:t>
      </w:r>
    </w:p>
    <w:p w14:paraId="0693B542"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Caractère d’urgence</w:t>
      </w:r>
      <w:r w:rsidRPr="00F57609">
        <w:rPr>
          <w:snapToGrid w:val="0"/>
          <w:color w:val="000000"/>
          <w:sz w:val="16"/>
          <w:szCs w:val="18"/>
        </w:rPr>
        <w:tab/>
      </w:r>
      <w:r w:rsidRPr="00F57609">
        <w:rPr>
          <w:snapToGrid w:val="0"/>
          <w:color w:val="000000"/>
          <w:sz w:val="16"/>
          <w:szCs w:val="18"/>
        </w:rPr>
        <w:tab/>
      </w:r>
      <w:r w:rsidRPr="00F57609">
        <w:rPr>
          <w:snapToGrid w:val="0"/>
          <w:color w:val="000000"/>
          <w:sz w:val="16"/>
          <w:szCs w:val="18"/>
        </w:rPr>
        <w:tab/>
      </w:r>
      <w:r w:rsidRPr="00F57609">
        <w:rPr>
          <w:snapToGrid w:val="0"/>
          <w:color w:val="000000"/>
          <w:sz w:val="16"/>
          <w:szCs w:val="18"/>
        </w:rPr>
        <w:tab/>
      </w:r>
    </w:p>
    <w:p w14:paraId="0693B543"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PAT</w:t>
      </w:r>
      <w:r w:rsidR="0041495B" w:rsidRPr="00F57609">
        <w:rPr>
          <w:b/>
          <w:snapToGrid w:val="0"/>
          <w:color w:val="000000"/>
          <w:sz w:val="16"/>
          <w:szCs w:val="18"/>
        </w:rPr>
        <w:fldChar w:fldCharType="begin"/>
      </w:r>
      <w:r w:rsidRPr="00F57609">
        <w:rPr>
          <w:b/>
          <w:snapToGrid w:val="0"/>
          <w:color w:val="000000"/>
          <w:sz w:val="16"/>
          <w:szCs w:val="18"/>
        </w:rPr>
        <w:instrText xml:space="preserve"> XE "</w:instrText>
      </w:r>
      <w:r w:rsidRPr="00F57609">
        <w:rPr>
          <w:sz w:val="16"/>
          <w:szCs w:val="18"/>
        </w:rPr>
        <w:instrText>PAT"</w:instrText>
      </w:r>
      <w:r w:rsidRPr="00F57609">
        <w:rPr>
          <w:b/>
          <w:snapToGrid w:val="0"/>
          <w:color w:val="000000"/>
          <w:sz w:val="16"/>
          <w:szCs w:val="18"/>
        </w:rPr>
        <w:instrText xml:space="preserve"> </w:instrText>
      </w:r>
      <w:r w:rsidR="0041495B" w:rsidRPr="00F57609">
        <w:rPr>
          <w:b/>
          <w:snapToGrid w:val="0"/>
          <w:color w:val="000000"/>
          <w:sz w:val="16"/>
          <w:szCs w:val="18"/>
        </w:rPr>
        <w:fldChar w:fldCharType="end"/>
      </w:r>
      <w:r w:rsidRPr="00F57609">
        <w:rPr>
          <w:b/>
          <w:snapToGrid w:val="0"/>
          <w:color w:val="000000"/>
          <w:sz w:val="16"/>
          <w:szCs w:val="18"/>
        </w:rPr>
        <w:tab/>
      </w:r>
      <w:r w:rsidRPr="00F57609">
        <w:rPr>
          <w:snapToGrid w:val="0"/>
          <w:color w:val="000000"/>
          <w:sz w:val="16"/>
          <w:szCs w:val="18"/>
        </w:rPr>
        <w:t>de 6 à 12 %</w:t>
      </w:r>
      <w:r w:rsidRPr="00F57609">
        <w:rPr>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Certitude de l’affectation</w:t>
      </w:r>
    </w:p>
    <w:p w14:paraId="0693B544" w14:textId="5407C4AB" w:rsidR="00A53617" w:rsidRPr="00F57609" w:rsidRDefault="00A53617" w:rsidP="00F57609">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00F57609" w:rsidRPr="00F57609">
        <w:rPr>
          <w:snapToGrid w:val="0"/>
          <w:color w:val="000000"/>
          <w:sz w:val="16"/>
          <w:szCs w:val="18"/>
        </w:rPr>
        <w:t>0,99 % voitures</w:t>
      </w:r>
      <w:r w:rsidRPr="00F57609">
        <w:rPr>
          <w:snapToGrid w:val="0"/>
          <w:color w:val="000000"/>
          <w:sz w:val="16"/>
          <w:szCs w:val="18"/>
        </w:rPr>
        <w:tab/>
      </w:r>
      <w:r w:rsidR="00F57609" w:rsidRPr="00F57609">
        <w:rPr>
          <w:rFonts w:ascii="Symbol" w:hAnsi="Symbol"/>
          <w:snapToGrid w:val="0"/>
          <w:color w:val="000000"/>
          <w:sz w:val="16"/>
          <w:szCs w:val="18"/>
        </w:rPr>
        <w:t></w:t>
      </w:r>
      <w:r w:rsidRPr="00F57609">
        <w:rPr>
          <w:snapToGrid w:val="0"/>
          <w:color w:val="000000"/>
          <w:sz w:val="16"/>
          <w:szCs w:val="18"/>
        </w:rPr>
        <w:tab/>
        <w:t>Protection</w:t>
      </w:r>
    </w:p>
    <w:p w14:paraId="0693B545" w14:textId="264E7833"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snapToGrid w:val="0"/>
          <w:color w:val="000000"/>
          <w:sz w:val="16"/>
          <w:szCs w:val="18"/>
        </w:rPr>
        <w:tab/>
      </w:r>
      <w:r w:rsidR="00F57609" w:rsidRPr="00F57609">
        <w:rPr>
          <w:snapToGrid w:val="0"/>
          <w:color w:val="000000"/>
          <w:sz w:val="16"/>
          <w:szCs w:val="18"/>
        </w:rPr>
        <w:t>neuves</w:t>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Forte concurrence poussée par les fabricants</w:t>
      </w:r>
    </w:p>
    <w:p w14:paraId="4910B06F" w14:textId="77777777" w:rsidR="00F57609" w:rsidRDefault="00F57609" w:rsidP="00A53617">
      <w:pPr>
        <w:tabs>
          <w:tab w:val="left" w:pos="2835"/>
          <w:tab w:val="left" w:pos="4252"/>
          <w:tab w:val="left" w:pos="4536"/>
        </w:tabs>
        <w:ind w:left="283"/>
        <w:jc w:val="both"/>
        <w:rPr>
          <w:b/>
          <w:snapToGrid w:val="0"/>
          <w:color w:val="000000"/>
          <w:sz w:val="16"/>
          <w:szCs w:val="18"/>
        </w:rPr>
      </w:pPr>
    </w:p>
    <w:p w14:paraId="0693B546" w14:textId="02678505"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b/>
          <w:snapToGrid w:val="0"/>
          <w:color w:val="000000"/>
          <w:sz w:val="16"/>
          <w:szCs w:val="18"/>
        </w:rPr>
        <w:t>Crédits-Logements</w:t>
      </w:r>
      <w:r w:rsidRPr="00F57609">
        <w:rPr>
          <w:b/>
          <w:snapToGrid w:val="0"/>
          <w:color w:val="000000"/>
          <w:sz w:val="16"/>
          <w:szCs w:val="18"/>
        </w:rPr>
        <w:tab/>
      </w:r>
      <w:r w:rsidRPr="00F57609">
        <w:rPr>
          <w:snapToGrid w:val="0"/>
          <w:color w:val="000000"/>
          <w:sz w:val="16"/>
          <w:szCs w:val="18"/>
        </w:rPr>
        <w:t xml:space="preserve">de </w:t>
      </w:r>
      <w:r w:rsidR="00F57609" w:rsidRPr="00F57609">
        <w:rPr>
          <w:snapToGrid w:val="0"/>
          <w:color w:val="000000"/>
          <w:sz w:val="16"/>
          <w:szCs w:val="18"/>
        </w:rPr>
        <w:t>1,38</w:t>
      </w:r>
      <w:r w:rsidRPr="00F57609">
        <w:rPr>
          <w:snapToGrid w:val="0"/>
          <w:color w:val="000000"/>
          <w:sz w:val="16"/>
          <w:szCs w:val="18"/>
        </w:rPr>
        <w:t xml:space="preserve"> à </w:t>
      </w:r>
      <w:r w:rsidR="00F57609" w:rsidRPr="00F57609">
        <w:rPr>
          <w:snapToGrid w:val="0"/>
          <w:color w:val="000000"/>
          <w:sz w:val="16"/>
          <w:szCs w:val="18"/>
        </w:rPr>
        <w:t>3</w:t>
      </w:r>
      <w:r w:rsidRPr="00F57609">
        <w:rPr>
          <w:snapToGrid w:val="0"/>
          <w:color w:val="000000"/>
          <w:sz w:val="16"/>
          <w:szCs w:val="18"/>
        </w:rPr>
        <w:t> %</w:t>
      </w:r>
      <w:r w:rsidRPr="00F57609">
        <w:rPr>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Produits fidélisants</w:t>
      </w:r>
    </w:p>
    <w:p w14:paraId="0693B547"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Garanties solides - Minimisation du risque</w:t>
      </w:r>
      <w:r w:rsidR="0041495B" w:rsidRPr="00F57609">
        <w:rPr>
          <w:snapToGrid w:val="0"/>
          <w:color w:val="000000"/>
          <w:sz w:val="16"/>
          <w:szCs w:val="18"/>
        </w:rPr>
        <w:fldChar w:fldCharType="begin"/>
      </w:r>
      <w:r w:rsidRPr="00F57609">
        <w:rPr>
          <w:snapToGrid w:val="0"/>
          <w:color w:val="000000"/>
          <w:sz w:val="16"/>
          <w:szCs w:val="18"/>
        </w:rPr>
        <w:instrText xml:space="preserve"> XE "</w:instrText>
      </w:r>
      <w:r w:rsidRPr="00F57609">
        <w:rPr>
          <w:sz w:val="16"/>
          <w:szCs w:val="18"/>
        </w:rPr>
        <w:instrText>risque"</w:instrText>
      </w:r>
      <w:r w:rsidRPr="00F57609">
        <w:rPr>
          <w:snapToGrid w:val="0"/>
          <w:color w:val="000000"/>
          <w:sz w:val="16"/>
          <w:szCs w:val="18"/>
        </w:rPr>
        <w:instrText xml:space="preserve"> </w:instrText>
      </w:r>
      <w:r w:rsidR="0041495B" w:rsidRPr="00F57609">
        <w:rPr>
          <w:snapToGrid w:val="0"/>
          <w:color w:val="000000"/>
          <w:sz w:val="16"/>
          <w:szCs w:val="18"/>
        </w:rPr>
        <w:fldChar w:fldCharType="end"/>
      </w:r>
    </w:p>
    <w:p w14:paraId="0693B548" w14:textId="77777777" w:rsidR="00A53617" w:rsidRPr="00F57609" w:rsidRDefault="00A53617" w:rsidP="00A53617">
      <w:pPr>
        <w:tabs>
          <w:tab w:val="left" w:pos="2835"/>
          <w:tab w:val="left" w:pos="4252"/>
          <w:tab w:val="left" w:pos="4536"/>
        </w:tabs>
        <w:ind w:left="283"/>
        <w:jc w:val="both"/>
        <w:rPr>
          <w:snapToGrid w:val="0"/>
          <w:color w:val="000000"/>
          <w:sz w:val="16"/>
          <w:szCs w:val="18"/>
        </w:rPr>
      </w:pPr>
      <w:r w:rsidRPr="00F57609">
        <w:rPr>
          <w:rFonts w:ascii="Symbol" w:hAnsi="Symbol"/>
          <w:snapToGrid w:val="0"/>
          <w:color w:val="000000"/>
          <w:sz w:val="16"/>
          <w:szCs w:val="18"/>
        </w:rPr>
        <w:tab/>
      </w:r>
      <w:r w:rsidRPr="00F57609">
        <w:rPr>
          <w:rFonts w:ascii="Symbol" w:hAnsi="Symbol"/>
          <w:snapToGrid w:val="0"/>
          <w:color w:val="000000"/>
          <w:sz w:val="16"/>
          <w:szCs w:val="18"/>
        </w:rPr>
        <w:tab/>
      </w:r>
      <w:r w:rsidRPr="00F57609">
        <w:rPr>
          <w:rFonts w:ascii="Symbol" w:hAnsi="Symbol"/>
          <w:snapToGrid w:val="0"/>
          <w:color w:val="000000"/>
          <w:sz w:val="16"/>
          <w:szCs w:val="18"/>
        </w:rPr>
        <w:t></w:t>
      </w:r>
      <w:r w:rsidRPr="00F57609">
        <w:rPr>
          <w:rFonts w:ascii="Symbol" w:hAnsi="Symbol"/>
          <w:snapToGrid w:val="0"/>
          <w:color w:val="000000"/>
          <w:sz w:val="16"/>
          <w:szCs w:val="18"/>
        </w:rPr>
        <w:tab/>
      </w:r>
      <w:r w:rsidRPr="00F57609">
        <w:rPr>
          <w:snapToGrid w:val="0"/>
          <w:color w:val="000000"/>
          <w:sz w:val="16"/>
          <w:szCs w:val="18"/>
        </w:rPr>
        <w:t>Solvabilité vérifiée</w:t>
      </w:r>
    </w:p>
    <w:p w14:paraId="0693B549" w14:textId="77777777" w:rsidR="002A735A" w:rsidRDefault="002A735A" w:rsidP="002A735A">
      <w:pPr>
        <w:pStyle w:val="StyleDivAprs14pt"/>
      </w:pPr>
      <w:r>
        <w:t xml:space="preserve"> </w:t>
      </w:r>
    </w:p>
    <w:p w14:paraId="0693B54A" w14:textId="77777777" w:rsidR="004C64BF" w:rsidRDefault="004C64BF" w:rsidP="00105A84">
      <w:pPr>
        <w:pStyle w:val="Titre2"/>
      </w:pPr>
      <w:bookmarkStart w:id="200" w:name="_Toc482815604"/>
      <w:r>
        <w:t>Crédits aux entreprises</w:t>
      </w:r>
      <w:bookmarkEnd w:id="200"/>
    </w:p>
    <w:p w14:paraId="0693B54B" w14:textId="77777777" w:rsidR="007C597C" w:rsidRPr="007C597C" w:rsidRDefault="007C597C" w:rsidP="007C597C">
      <w:r>
        <w:t xml:space="preserve">La plupart des crédits décrits ci-dessous sont documentés dans </w:t>
      </w:r>
      <w:hyperlink r:id="rId100" w:history="1">
        <w:r w:rsidRPr="007C597C">
          <w:rPr>
            <w:rStyle w:val="Lienhypertexte"/>
            <w:b/>
          </w:rPr>
          <w:t>ce diaporama</w:t>
        </w:r>
      </w:hyperlink>
      <w:r>
        <w:t>.</w:t>
      </w:r>
    </w:p>
    <w:p w14:paraId="0693B54C" w14:textId="77777777" w:rsidR="00E642CB" w:rsidRPr="0056383D" w:rsidRDefault="00E642CB" w:rsidP="00E101C5">
      <w:pPr>
        <w:pStyle w:val="Titre3"/>
        <w:rPr>
          <w:snapToGrid w:val="0"/>
        </w:rPr>
      </w:pPr>
      <w:bookmarkStart w:id="201" w:name="_Toc189380911"/>
      <w:bookmarkStart w:id="202" w:name="_Toc482815605"/>
      <w:r w:rsidRPr="0056383D">
        <w:rPr>
          <w:snapToGrid w:val="0"/>
        </w:rPr>
        <w:lastRenderedPageBreak/>
        <w:t>Crédits destinés à des investissements</w:t>
      </w:r>
      <w:bookmarkEnd w:id="201"/>
      <w:bookmarkEnd w:id="202"/>
      <w:r w:rsidR="0041495B">
        <w:rPr>
          <w:snapToGrid w:val="0"/>
        </w:rPr>
        <w:fldChar w:fldCharType="begin"/>
      </w:r>
      <w:r>
        <w:instrText xml:space="preserve"> TC "</w:instrText>
      </w:r>
      <w:bookmarkStart w:id="203" w:name="_Toc189382514"/>
      <w:bookmarkStart w:id="204" w:name="_Toc189382905"/>
      <w:bookmarkStart w:id="205" w:name="_Toc189383119"/>
      <w:bookmarkStart w:id="206" w:name="_Toc189383212"/>
      <w:bookmarkStart w:id="207" w:name="_Toc192996379"/>
      <w:bookmarkStart w:id="208" w:name="_Toc279042800"/>
      <w:r w:rsidRPr="00854FCE">
        <w:rPr>
          <w:snapToGrid w:val="0"/>
        </w:rPr>
        <w:instrText>Crédits destinés à des investissements</w:instrText>
      </w:r>
      <w:bookmarkEnd w:id="203"/>
      <w:bookmarkEnd w:id="204"/>
      <w:bookmarkEnd w:id="205"/>
      <w:bookmarkEnd w:id="206"/>
      <w:bookmarkEnd w:id="207"/>
      <w:bookmarkEnd w:id="208"/>
      <w:r>
        <w:instrText xml:space="preserve">" \f C \l "4" </w:instrText>
      </w:r>
      <w:r w:rsidR="0041495B">
        <w:rPr>
          <w:snapToGrid w:val="0"/>
        </w:rPr>
        <w:fldChar w:fldCharType="end"/>
      </w:r>
    </w:p>
    <w:p w14:paraId="0693B54D" w14:textId="77777777" w:rsidR="00E642CB" w:rsidRDefault="00E642CB" w:rsidP="00D3604D">
      <w:pPr>
        <w:spacing w:before="240"/>
        <w:ind w:right="16"/>
        <w:jc w:val="both"/>
        <w:rPr>
          <w:snapToGrid w:val="0"/>
          <w:color w:val="000000"/>
        </w:rPr>
      </w:pPr>
      <w:r w:rsidRPr="0056383D">
        <w:rPr>
          <w:snapToGrid w:val="0"/>
          <w:color w:val="000000"/>
        </w:rPr>
        <w:t xml:space="preserve">Crédit moyen ou long terme par excellence, </w:t>
      </w:r>
      <w:r>
        <w:rPr>
          <w:snapToGrid w:val="0"/>
          <w:color w:val="000000"/>
        </w:rPr>
        <w:t xml:space="preserve">les crédits d’investissement sont destinés </w:t>
      </w:r>
      <w:r w:rsidRPr="0056383D">
        <w:rPr>
          <w:snapToGrid w:val="0"/>
          <w:color w:val="000000"/>
        </w:rPr>
        <w:t>à financer, par exemple, des frais d’établissement, des immobilisations (corporelles, incorporelles ou financières).</w:t>
      </w:r>
      <w:r>
        <w:rPr>
          <w:snapToGrid w:val="0"/>
          <w:color w:val="000000"/>
        </w:rPr>
        <w:t xml:space="preserve"> </w:t>
      </w:r>
      <w:r w:rsidRPr="0056383D">
        <w:rPr>
          <w:snapToGrid w:val="0"/>
          <w:color w:val="000000"/>
        </w:rPr>
        <w:t>Le taux est “ fixe ” (révision quinquennale toutefois).</w:t>
      </w:r>
      <w:r>
        <w:rPr>
          <w:snapToGrid w:val="0"/>
          <w:color w:val="000000"/>
        </w:rPr>
        <w:t xml:space="preserve"> </w:t>
      </w:r>
      <w:r w:rsidRPr="0056383D">
        <w:rPr>
          <w:snapToGrid w:val="0"/>
          <w:color w:val="000000"/>
        </w:rPr>
        <w:t>La périodicité de remboursement peut aller du mois à l’année.</w:t>
      </w:r>
      <w:r>
        <w:rPr>
          <w:snapToGrid w:val="0"/>
          <w:color w:val="000000"/>
        </w:rPr>
        <w:t xml:space="preserve"> Voici quelques exemples.</w:t>
      </w:r>
    </w:p>
    <w:p w14:paraId="0693B54E" w14:textId="77777777" w:rsidR="00E642CB" w:rsidRDefault="00E642CB" w:rsidP="00D3604D">
      <w:pPr>
        <w:spacing w:before="240"/>
        <w:ind w:right="16"/>
        <w:jc w:val="both"/>
        <w:rPr>
          <w:i/>
          <w:snapToGrid w:val="0"/>
          <w:color w:val="000000"/>
        </w:rPr>
      </w:pPr>
      <w:r>
        <w:rPr>
          <w:i/>
          <w:snapToGrid w:val="0"/>
          <w:color w:val="000000"/>
        </w:rPr>
        <w:t>Le prélèvement du montant emprunté peut prendre des formes différentes :</w:t>
      </w:r>
    </w:p>
    <w:p w14:paraId="0693B54F" w14:textId="77777777" w:rsidR="00E642CB" w:rsidRPr="007B3C8E" w:rsidRDefault="00E642CB" w:rsidP="00D3604D">
      <w:pPr>
        <w:numPr>
          <w:ilvl w:val="0"/>
          <w:numId w:val="25"/>
        </w:numPr>
        <w:tabs>
          <w:tab w:val="clear" w:pos="2138"/>
          <w:tab w:val="num" w:pos="360"/>
        </w:tabs>
        <w:ind w:left="360" w:right="17"/>
        <w:jc w:val="both"/>
        <w:rPr>
          <w:snapToGrid w:val="0"/>
          <w:color w:val="000000"/>
        </w:rPr>
      </w:pPr>
      <w:r>
        <w:rPr>
          <w:rFonts w:cs="Arial"/>
          <w:snapToGrid w:val="0"/>
          <w:color w:val="000000"/>
        </w:rPr>
        <w:t>P</w:t>
      </w:r>
      <w:r w:rsidRPr="007B3C8E">
        <w:rPr>
          <w:rFonts w:cs="Arial"/>
          <w:snapToGrid w:val="0"/>
          <w:color w:val="000000"/>
        </w:rPr>
        <w:t>rélever le tout en une fois et placer ce qui ne doit pas être affecté to</w:t>
      </w:r>
      <w:r w:rsidRPr="007B3C8E">
        <w:rPr>
          <w:snapToGrid w:val="0"/>
          <w:color w:val="000000"/>
        </w:rPr>
        <w:t xml:space="preserve">ut de suite à des échéances échelonnées pour subvenir aux besoins réels. </w:t>
      </w:r>
    </w:p>
    <w:p w14:paraId="0693B550" w14:textId="77777777" w:rsidR="00E642CB" w:rsidRPr="007B3C8E" w:rsidRDefault="00E642CB" w:rsidP="00D3604D">
      <w:pPr>
        <w:ind w:left="425" w:right="17"/>
        <w:jc w:val="both"/>
        <w:rPr>
          <w:snapToGrid w:val="0"/>
          <w:color w:val="000000"/>
        </w:rPr>
      </w:pPr>
      <w:r w:rsidRPr="007B3C8E">
        <w:rPr>
          <w:snapToGrid w:val="0"/>
          <w:color w:val="000000"/>
        </w:rPr>
        <w:t>Inconvénients : le taux de replacement est généralement inférieur aux taux d’emprunt à long terme.</w:t>
      </w:r>
    </w:p>
    <w:p w14:paraId="0693B551" w14:textId="77777777" w:rsidR="00E642CB" w:rsidRPr="007B3C8E" w:rsidRDefault="00E642CB" w:rsidP="00D3604D">
      <w:pPr>
        <w:numPr>
          <w:ilvl w:val="0"/>
          <w:numId w:val="25"/>
        </w:numPr>
        <w:tabs>
          <w:tab w:val="clear" w:pos="2138"/>
          <w:tab w:val="num" w:pos="426"/>
        </w:tabs>
        <w:ind w:left="360" w:right="17"/>
        <w:jc w:val="both"/>
        <w:rPr>
          <w:rFonts w:cs="Arial"/>
          <w:snapToGrid w:val="0"/>
          <w:color w:val="000000"/>
        </w:rPr>
      </w:pPr>
      <w:r>
        <w:rPr>
          <w:rFonts w:cs="Arial"/>
          <w:snapToGrid w:val="0"/>
          <w:color w:val="000000"/>
        </w:rPr>
        <w:t>P</w:t>
      </w:r>
      <w:r w:rsidRPr="007B3C8E">
        <w:rPr>
          <w:rFonts w:cs="Arial"/>
          <w:snapToGrid w:val="0"/>
          <w:color w:val="000000"/>
        </w:rPr>
        <w:t>rélever le crédit en plusieurs fois, au fur et à mesure des besoins réels :</w:t>
      </w:r>
    </w:p>
    <w:p w14:paraId="0693B552" w14:textId="77777777" w:rsidR="00E642CB" w:rsidRPr="007B3C8E" w:rsidRDefault="00E642CB" w:rsidP="00D3604D">
      <w:pPr>
        <w:ind w:left="425"/>
        <w:jc w:val="both"/>
        <w:rPr>
          <w:snapToGrid w:val="0"/>
          <w:color w:val="000000"/>
        </w:rPr>
      </w:pPr>
      <w:r w:rsidRPr="007B3C8E">
        <w:rPr>
          <w:snapToGrid w:val="0"/>
          <w:color w:val="000000"/>
        </w:rPr>
        <w:t>L’établissement de crédit peut rendre le taux de chaque tranche égal à celui en vigueur au moment effectif du prélèvement (variabilité du crédit, surtout en période de volatilité). Afin de disposer d’un taux fixe, l’investisseur peut utiliser des technique</w:t>
      </w:r>
      <w:r>
        <w:rPr>
          <w:snapToGrid w:val="0"/>
          <w:color w:val="000000"/>
        </w:rPr>
        <w:t>s de « </w:t>
      </w:r>
      <w:r w:rsidRPr="007B3C8E">
        <w:rPr>
          <w:snapToGrid w:val="0"/>
          <w:color w:val="000000"/>
        </w:rPr>
        <w:t>hedging</w:t>
      </w:r>
      <w:r>
        <w:rPr>
          <w:snapToGrid w:val="0"/>
          <w:color w:val="000000"/>
        </w:rPr>
        <w:t> </w:t>
      </w:r>
      <w:r w:rsidRPr="007B3C8E">
        <w:rPr>
          <w:snapToGrid w:val="0"/>
          <w:color w:val="000000"/>
        </w:rPr>
        <w:t>»</w:t>
      </w:r>
      <w:r>
        <w:rPr>
          <w:snapToGrid w:val="0"/>
          <w:color w:val="000000"/>
        </w:rPr>
        <w:t xml:space="preserve"> </w:t>
      </w:r>
      <w:r w:rsidRPr="007B3C8E">
        <w:rPr>
          <w:snapToGrid w:val="0"/>
          <w:color w:val="000000"/>
        </w:rPr>
        <w:t>(couverture) par des futures sur taux d’intérêt.</w:t>
      </w:r>
    </w:p>
    <w:p w14:paraId="0693B553" w14:textId="77777777" w:rsidR="00E642CB" w:rsidRPr="007B3C8E" w:rsidRDefault="00E642CB" w:rsidP="00D3604D">
      <w:pPr>
        <w:spacing w:before="240"/>
        <w:ind w:right="16"/>
        <w:jc w:val="both"/>
        <w:rPr>
          <w:i/>
          <w:snapToGrid w:val="0"/>
          <w:color w:val="000000"/>
        </w:rPr>
      </w:pPr>
      <w:r w:rsidRPr="007B3C8E">
        <w:rPr>
          <w:i/>
          <w:snapToGrid w:val="0"/>
          <w:color w:val="000000"/>
        </w:rPr>
        <w:t xml:space="preserve">Diverses formules de remboursement </w:t>
      </w:r>
      <w:r>
        <w:rPr>
          <w:i/>
          <w:snapToGrid w:val="0"/>
          <w:color w:val="000000"/>
        </w:rPr>
        <w:t>existent</w:t>
      </w:r>
      <w:r w:rsidRPr="007B3C8E">
        <w:rPr>
          <w:i/>
          <w:snapToGrid w:val="0"/>
          <w:color w:val="000000"/>
        </w:rPr>
        <w:t xml:space="preserve"> :</w:t>
      </w:r>
    </w:p>
    <w:p w14:paraId="0693B554" w14:textId="77777777" w:rsidR="00E642CB" w:rsidRPr="007B3C8E" w:rsidRDefault="00E642CB" w:rsidP="00D3604D">
      <w:pPr>
        <w:numPr>
          <w:ilvl w:val="0"/>
          <w:numId w:val="24"/>
        </w:numPr>
        <w:tabs>
          <w:tab w:val="clear" w:pos="2138"/>
        </w:tabs>
        <w:ind w:left="283" w:right="17" w:hanging="283"/>
        <w:jc w:val="both"/>
        <w:rPr>
          <w:rFonts w:cs="Arial"/>
          <w:snapToGrid w:val="0"/>
          <w:color w:val="000000"/>
        </w:rPr>
      </w:pPr>
      <w:r w:rsidRPr="007B3C8E">
        <w:rPr>
          <w:rFonts w:cs="Arial"/>
          <w:snapToGrid w:val="0"/>
          <w:color w:val="000000"/>
        </w:rPr>
        <w:t>remboursement intégral en une seule fois à la fin de l’opération : « bullet repayment »</w:t>
      </w:r>
    </w:p>
    <w:p w14:paraId="0693B555" w14:textId="77777777" w:rsidR="00E642CB" w:rsidRPr="007B3C8E" w:rsidRDefault="00E642CB" w:rsidP="00D3604D">
      <w:pPr>
        <w:numPr>
          <w:ilvl w:val="0"/>
          <w:numId w:val="24"/>
        </w:numPr>
        <w:tabs>
          <w:tab w:val="clear" w:pos="2138"/>
        </w:tabs>
        <w:ind w:left="283" w:right="17" w:hanging="283"/>
        <w:jc w:val="both"/>
        <w:rPr>
          <w:rFonts w:cs="Arial"/>
          <w:snapToGrid w:val="0"/>
          <w:color w:val="000000"/>
        </w:rPr>
      </w:pPr>
      <w:r w:rsidRPr="007B3C8E">
        <w:rPr>
          <w:rFonts w:cs="Arial"/>
          <w:snapToGrid w:val="0"/>
          <w:color w:val="000000"/>
        </w:rPr>
        <w:t>remboursements partiels périodiques (égaux ou inégaux)</w:t>
      </w:r>
    </w:p>
    <w:p w14:paraId="0693B556" w14:textId="77777777" w:rsidR="00E642CB" w:rsidRPr="007B3C8E" w:rsidRDefault="00E642CB" w:rsidP="00D3604D">
      <w:pPr>
        <w:numPr>
          <w:ilvl w:val="0"/>
          <w:numId w:val="24"/>
        </w:numPr>
        <w:tabs>
          <w:tab w:val="clear" w:pos="2138"/>
        </w:tabs>
        <w:ind w:left="283" w:right="17" w:hanging="283"/>
        <w:jc w:val="both"/>
        <w:rPr>
          <w:rFonts w:cs="Arial"/>
          <w:snapToGrid w:val="0"/>
          <w:color w:val="000000"/>
        </w:rPr>
      </w:pPr>
      <w:r w:rsidRPr="007B3C8E">
        <w:rPr>
          <w:rFonts w:cs="Arial"/>
          <w:snapToGrid w:val="0"/>
          <w:color w:val="000000"/>
        </w:rPr>
        <w:t>remboursements de capital constants avec paiement d’intérêts décroissants sur le solde restant dû</w:t>
      </w:r>
    </w:p>
    <w:p w14:paraId="0693B557" w14:textId="77777777" w:rsidR="00E642CB" w:rsidRDefault="00E642CB" w:rsidP="00D3604D">
      <w:pPr>
        <w:numPr>
          <w:ilvl w:val="0"/>
          <w:numId w:val="24"/>
        </w:numPr>
        <w:tabs>
          <w:tab w:val="clear" w:pos="2138"/>
        </w:tabs>
        <w:ind w:left="283" w:right="17" w:hanging="283"/>
        <w:jc w:val="both"/>
        <w:rPr>
          <w:rFonts w:cs="Arial"/>
          <w:snapToGrid w:val="0"/>
          <w:color w:val="000000"/>
        </w:rPr>
      </w:pPr>
      <w:r w:rsidRPr="007B3C8E">
        <w:rPr>
          <w:rFonts w:cs="Arial"/>
          <w:snapToGrid w:val="0"/>
          <w:color w:val="000000"/>
        </w:rPr>
        <w:t>remboursements ad-hoc irréguliers</w:t>
      </w:r>
      <w:r>
        <w:rPr>
          <w:rFonts w:cs="Arial"/>
          <w:snapToGrid w:val="0"/>
          <w:color w:val="000000"/>
        </w:rPr>
        <w:t xml:space="preserve"> (« balloon repayment »)</w:t>
      </w:r>
    </w:p>
    <w:p w14:paraId="0693B558" w14:textId="77777777" w:rsidR="00E45284" w:rsidRPr="007B3C8E" w:rsidRDefault="00E45284" w:rsidP="00E45284">
      <w:pPr>
        <w:numPr>
          <w:ilvl w:val="0"/>
          <w:numId w:val="24"/>
        </w:numPr>
        <w:tabs>
          <w:tab w:val="clear" w:pos="2138"/>
        </w:tabs>
        <w:ind w:left="283" w:right="17" w:hanging="283"/>
        <w:jc w:val="both"/>
        <w:rPr>
          <w:rFonts w:cs="Arial"/>
          <w:snapToGrid w:val="0"/>
          <w:color w:val="000000"/>
        </w:rPr>
      </w:pPr>
      <w:r w:rsidRPr="007B3C8E">
        <w:rPr>
          <w:rFonts w:cs="Arial"/>
          <w:snapToGrid w:val="0"/>
          <w:color w:val="000000"/>
        </w:rPr>
        <w:t>remboursements par annuités (capital + intérêts) constantes</w:t>
      </w:r>
      <w:r>
        <w:rPr>
          <w:rFonts w:cs="Arial"/>
          <w:snapToGrid w:val="0"/>
          <w:color w:val="000000"/>
        </w:rPr>
        <w:t> :</w:t>
      </w:r>
    </w:p>
    <w:p w14:paraId="0693B559" w14:textId="77777777" w:rsidR="00E45284" w:rsidRDefault="00E45284" w:rsidP="00E45284">
      <w:pPr>
        <w:ind w:right="17"/>
        <w:jc w:val="both"/>
        <w:rPr>
          <w:rFonts w:cs="Arial"/>
          <w:snapToGrid w:val="0"/>
          <w:color w:val="000000"/>
        </w:rPr>
      </w:pPr>
    </w:p>
    <w:p w14:paraId="0693B55B" w14:textId="77777777" w:rsidR="00E642CB" w:rsidRPr="007B3C8E" w:rsidRDefault="00E642CB" w:rsidP="001F7D23">
      <w:pPr>
        <w:pStyle w:val="Titre4"/>
        <w:rPr>
          <w:snapToGrid w:val="0"/>
          <w:lang w:val="en-GB"/>
        </w:rPr>
      </w:pPr>
      <w:bookmarkStart w:id="209" w:name="_Toc189380912"/>
      <w:r w:rsidRPr="007B3C8E">
        <w:rPr>
          <w:snapToGrid w:val="0"/>
          <w:lang w:val="en-GB"/>
        </w:rPr>
        <w:t>Crédit “ Roll-Over ” (“ stand by ” et “ evergreen ”)</w:t>
      </w:r>
      <w:bookmarkEnd w:id="209"/>
    </w:p>
    <w:p w14:paraId="0693B55C" w14:textId="77777777" w:rsidR="00E642CB" w:rsidRPr="00AB1B61" w:rsidRDefault="00E642CB" w:rsidP="00D3604D">
      <w:pPr>
        <w:ind w:right="16"/>
        <w:jc w:val="both"/>
        <w:rPr>
          <w:snapToGrid w:val="0"/>
          <w:color w:val="000000"/>
        </w:rPr>
      </w:pPr>
      <w:r w:rsidRPr="0056383D">
        <w:rPr>
          <w:snapToGrid w:val="0"/>
          <w:color w:val="000000"/>
        </w:rPr>
        <w:t>Variante plus souple du précédent, ce crédit est nettement moyen terme (</w:t>
      </w:r>
      <w:r>
        <w:rPr>
          <w:snapToGrid w:val="0"/>
          <w:color w:val="000000"/>
        </w:rPr>
        <w:t>3</w:t>
      </w:r>
      <w:r w:rsidRPr="0056383D">
        <w:rPr>
          <w:snapToGrid w:val="0"/>
          <w:color w:val="000000"/>
        </w:rPr>
        <w:t xml:space="preserve"> à </w:t>
      </w:r>
      <w:r>
        <w:rPr>
          <w:snapToGrid w:val="0"/>
          <w:color w:val="000000"/>
        </w:rPr>
        <w:t>15</w:t>
      </w:r>
      <w:r w:rsidRPr="0056383D">
        <w:rPr>
          <w:snapToGrid w:val="0"/>
          <w:color w:val="000000"/>
        </w:rPr>
        <w:t xml:space="preserve"> ans, maximum 650 000 € empruntés), et caractérisé par un taux variable (basé sur le LIBOR ou l’EURIBOR selon les pays), révisable à intervalles réguliers de maximum un an, selon des règles préalablement établies.</w:t>
      </w:r>
      <w:r>
        <w:rPr>
          <w:snapToGrid w:val="0"/>
          <w:color w:val="000000"/>
        </w:rPr>
        <w:t xml:space="preserve"> </w:t>
      </w:r>
      <w:r w:rsidRPr="00AB1B61">
        <w:rPr>
          <w:snapToGrid w:val="0"/>
          <w:color w:val="000000"/>
        </w:rPr>
        <w:t xml:space="preserve">Le crédit roll-over consiste donc en une succession de courtes périodes d'intérêts variables choisies par </w:t>
      </w:r>
      <w:r>
        <w:rPr>
          <w:snapToGrid w:val="0"/>
          <w:color w:val="000000"/>
        </w:rPr>
        <w:t xml:space="preserve">le client, variant </w:t>
      </w:r>
      <w:r w:rsidRPr="00AB1B61">
        <w:rPr>
          <w:snapToGrid w:val="0"/>
          <w:color w:val="000000"/>
        </w:rPr>
        <w:t>de 1 à 12 mois. Le crédit roll-over est remboursable selon un plan d'amortissement convenu ou dans son intégralité à l'échéance finale. Un crédit roll-over est également appelé crédit d'investissement à taux variable/flottant.</w:t>
      </w:r>
    </w:p>
    <w:p w14:paraId="0693B55D" w14:textId="77777777" w:rsidR="00E642CB" w:rsidRPr="0056383D" w:rsidRDefault="00E642CB" w:rsidP="001F7D23">
      <w:pPr>
        <w:pStyle w:val="Titre4"/>
        <w:rPr>
          <w:snapToGrid w:val="0"/>
        </w:rPr>
      </w:pPr>
      <w:bookmarkStart w:id="210" w:name="_Toc189380913"/>
      <w:r w:rsidRPr="0056383D">
        <w:rPr>
          <w:snapToGrid w:val="0"/>
        </w:rPr>
        <w:t>Crédit de participation</w:t>
      </w:r>
      <w:bookmarkEnd w:id="210"/>
    </w:p>
    <w:p w14:paraId="0693B55E" w14:textId="77777777" w:rsidR="00E642CB" w:rsidRPr="0056383D" w:rsidRDefault="00E642CB" w:rsidP="00D3604D">
      <w:pPr>
        <w:ind w:right="16"/>
        <w:jc w:val="both"/>
        <w:rPr>
          <w:snapToGrid w:val="0"/>
          <w:color w:val="000000"/>
        </w:rPr>
      </w:pPr>
      <w:r w:rsidRPr="0056383D">
        <w:rPr>
          <w:snapToGrid w:val="0"/>
          <w:color w:val="000000"/>
        </w:rPr>
        <w:t>Crédit moyen terme destinés aux actionnaires ou associés d’entreprise dans le but de participer à une constitution ou une augmentation de capital.</w:t>
      </w:r>
      <w:r>
        <w:rPr>
          <w:snapToGrid w:val="0"/>
          <w:color w:val="000000"/>
        </w:rPr>
        <w:t xml:space="preserve"> </w:t>
      </w:r>
      <w:r w:rsidRPr="0056383D">
        <w:rPr>
          <w:snapToGrid w:val="0"/>
          <w:color w:val="000000"/>
        </w:rPr>
        <w:t>La durée de ce type de prêt peut aller jusqu’à cinq ans et plus.</w:t>
      </w:r>
    </w:p>
    <w:p w14:paraId="0693B55F" w14:textId="77777777" w:rsidR="00E642CB" w:rsidRPr="0056383D" w:rsidRDefault="00E642CB" w:rsidP="00D3604D">
      <w:pPr>
        <w:ind w:right="16"/>
        <w:jc w:val="both"/>
        <w:rPr>
          <w:snapToGrid w:val="0"/>
          <w:color w:val="000000"/>
        </w:rPr>
      </w:pPr>
      <w:r w:rsidRPr="0056383D">
        <w:rPr>
          <w:snapToGrid w:val="0"/>
          <w:color w:val="000000"/>
        </w:rPr>
        <w:t>Le montant sera de minimum 12 500 €.</w:t>
      </w:r>
      <w:r>
        <w:rPr>
          <w:snapToGrid w:val="0"/>
          <w:color w:val="000000"/>
        </w:rPr>
        <w:t xml:space="preserve"> </w:t>
      </w:r>
      <w:r w:rsidRPr="0056383D">
        <w:rPr>
          <w:snapToGrid w:val="0"/>
          <w:color w:val="000000"/>
        </w:rPr>
        <w:t>Le taux est fixe (à révision quinquennale). Les intérêts sont calculés trimestriellement.</w:t>
      </w:r>
    </w:p>
    <w:p w14:paraId="0693B560" w14:textId="77777777" w:rsidR="00E642CB" w:rsidRPr="0056383D" w:rsidRDefault="00E642CB" w:rsidP="00D3604D">
      <w:pPr>
        <w:ind w:right="16"/>
        <w:jc w:val="both"/>
        <w:rPr>
          <w:snapToGrid w:val="0"/>
          <w:color w:val="000000"/>
        </w:rPr>
      </w:pPr>
      <w:r w:rsidRPr="0056383D">
        <w:rPr>
          <w:snapToGrid w:val="0"/>
          <w:color w:val="000000"/>
        </w:rPr>
        <w:t>Les remboursements se font tous les trimestres, tous les semestres ou tous les ans.</w:t>
      </w:r>
    </w:p>
    <w:p w14:paraId="0693B561" w14:textId="77777777" w:rsidR="002A1E56" w:rsidRDefault="00E642CB" w:rsidP="001F7D23">
      <w:pPr>
        <w:pStyle w:val="Titre4"/>
        <w:rPr>
          <w:snapToGrid w:val="0"/>
        </w:rPr>
      </w:pPr>
      <w:bookmarkStart w:id="211" w:name="_Toc189380914"/>
      <w:r w:rsidRPr="0056383D">
        <w:rPr>
          <w:snapToGrid w:val="0"/>
        </w:rPr>
        <w:t>Crédit “ Leasing ”</w:t>
      </w:r>
      <w:r>
        <w:rPr>
          <w:snapToGrid w:val="0"/>
        </w:rPr>
        <w:t xml:space="preserve"> </w:t>
      </w:r>
    </w:p>
    <w:p w14:paraId="0693B562" w14:textId="77777777" w:rsidR="00E642CB" w:rsidRDefault="00E642CB" w:rsidP="00D3604D">
      <w:pPr>
        <w:spacing w:before="240"/>
        <w:ind w:right="17"/>
        <w:jc w:val="both"/>
        <w:rPr>
          <w:snapToGrid w:val="0"/>
          <w:color w:val="000000"/>
        </w:rPr>
      </w:pPr>
      <w:r w:rsidRPr="00AB20D3">
        <w:rPr>
          <w:snapToGrid w:val="0"/>
          <w:color w:val="000000"/>
        </w:rPr>
        <w:t>(</w:t>
      </w:r>
      <w:r w:rsidR="002A1E56">
        <w:rPr>
          <w:snapToGrid w:val="0"/>
          <w:color w:val="000000"/>
        </w:rPr>
        <w:t>L</w:t>
      </w:r>
      <w:r w:rsidRPr="00AB20D3">
        <w:rPr>
          <w:snapToGrid w:val="0"/>
          <w:color w:val="000000"/>
        </w:rPr>
        <w:t>’option d’achat doit être inférieure à 15 % de la valeur d’achat du bien.)</w:t>
      </w:r>
      <w:r>
        <w:rPr>
          <w:snapToGrid w:val="0"/>
          <w:color w:val="000000"/>
        </w:rPr>
        <w:t xml:space="preserve"> Taux : +/- 8 %.</w:t>
      </w:r>
      <w:bookmarkEnd w:id="211"/>
      <w:r>
        <w:rPr>
          <w:snapToGrid w:val="0"/>
          <w:color w:val="000000"/>
        </w:rPr>
        <w:t xml:space="preserve"> Les particuliers n’ont pas accès au leasing. Remarque : il existe une forme de leasing sans option d’achat : le leasing opérationnel. La différence avec le simple renting (ci-dessous) est que le leasing permet d’acter un amortissement, pas le renting.</w:t>
      </w:r>
    </w:p>
    <w:p w14:paraId="0693B563" w14:textId="77777777" w:rsidR="00E642CB" w:rsidRPr="00F721D3" w:rsidRDefault="00E642CB" w:rsidP="00D3604D">
      <w:pPr>
        <w:spacing w:before="120"/>
        <w:ind w:left="72" w:right="17"/>
        <w:jc w:val="both"/>
        <w:rPr>
          <w:snapToGrid w:val="0"/>
          <w:color w:val="000000"/>
        </w:rPr>
      </w:pPr>
      <w:r w:rsidRPr="00F721D3">
        <w:rPr>
          <w:snapToGrid w:val="0"/>
          <w:color w:val="000000"/>
        </w:rPr>
        <w:t>Étapes inhérentes à la conclusion du contrat :</w:t>
      </w:r>
    </w:p>
    <w:p w14:paraId="0693B564" w14:textId="77777777" w:rsidR="00E642CB" w:rsidRPr="00F721D3" w:rsidRDefault="00E642CB" w:rsidP="00D3604D">
      <w:pPr>
        <w:numPr>
          <w:ilvl w:val="0"/>
          <w:numId w:val="23"/>
        </w:numPr>
        <w:tabs>
          <w:tab w:val="clear" w:pos="2123"/>
          <w:tab w:val="num" w:pos="497"/>
        </w:tabs>
        <w:ind w:left="497" w:right="16" w:hanging="421"/>
        <w:jc w:val="both"/>
        <w:rPr>
          <w:snapToGrid w:val="0"/>
          <w:color w:val="000000"/>
        </w:rPr>
      </w:pPr>
      <w:r w:rsidRPr="00F721D3">
        <w:rPr>
          <w:snapToGrid w:val="0"/>
          <w:color w:val="000000"/>
        </w:rPr>
        <w:t xml:space="preserve">le client choisit un bien (meuble ou immeuble) chez un fournisseur de son </w:t>
      </w:r>
      <w:r>
        <w:rPr>
          <w:snapToGrid w:val="0"/>
          <w:color w:val="000000"/>
        </w:rPr>
        <w:t>choix ;</w:t>
      </w:r>
      <w:r w:rsidRPr="00F721D3">
        <w:rPr>
          <w:snapToGrid w:val="0"/>
          <w:color w:val="000000"/>
        </w:rPr>
        <w:t xml:space="preserve"> </w:t>
      </w:r>
    </w:p>
    <w:p w14:paraId="0693B565" w14:textId="77777777" w:rsidR="00E642CB" w:rsidRPr="00F721D3" w:rsidRDefault="00E642CB" w:rsidP="00D3604D">
      <w:pPr>
        <w:numPr>
          <w:ilvl w:val="0"/>
          <w:numId w:val="23"/>
        </w:numPr>
        <w:tabs>
          <w:tab w:val="clear" w:pos="2123"/>
          <w:tab w:val="num" w:pos="1915"/>
        </w:tabs>
        <w:ind w:left="497" w:right="16" w:hanging="421"/>
        <w:jc w:val="both"/>
        <w:rPr>
          <w:snapToGrid w:val="0"/>
          <w:color w:val="000000"/>
        </w:rPr>
      </w:pPr>
      <w:r w:rsidRPr="00F721D3">
        <w:rPr>
          <w:snapToGrid w:val="0"/>
          <w:color w:val="000000"/>
        </w:rPr>
        <w:lastRenderedPageBreak/>
        <w:t>la banque commande ce bien chez le fournisseur</w:t>
      </w:r>
      <w:r>
        <w:rPr>
          <w:snapToGrid w:val="0"/>
          <w:color w:val="000000"/>
        </w:rPr>
        <w:t> ;</w:t>
      </w:r>
      <w:r w:rsidRPr="00F721D3">
        <w:rPr>
          <w:snapToGrid w:val="0"/>
          <w:color w:val="000000"/>
        </w:rPr>
        <w:t xml:space="preserve"> </w:t>
      </w:r>
    </w:p>
    <w:p w14:paraId="0693B566" w14:textId="77777777" w:rsidR="00E642CB" w:rsidRPr="00F721D3" w:rsidRDefault="00E642CB" w:rsidP="00D3604D">
      <w:pPr>
        <w:numPr>
          <w:ilvl w:val="0"/>
          <w:numId w:val="23"/>
        </w:numPr>
        <w:tabs>
          <w:tab w:val="clear" w:pos="2123"/>
          <w:tab w:val="num" w:pos="1915"/>
        </w:tabs>
        <w:ind w:left="497" w:right="16" w:hanging="421"/>
        <w:jc w:val="both"/>
        <w:rPr>
          <w:snapToGrid w:val="0"/>
          <w:color w:val="000000"/>
        </w:rPr>
      </w:pPr>
      <w:r w:rsidRPr="00F721D3">
        <w:rPr>
          <w:snapToGrid w:val="0"/>
          <w:color w:val="000000"/>
        </w:rPr>
        <w:t>Le fournisseur livre le bien acheté au client</w:t>
      </w:r>
      <w:r>
        <w:rPr>
          <w:snapToGrid w:val="0"/>
          <w:color w:val="000000"/>
        </w:rPr>
        <w:t> ;</w:t>
      </w:r>
      <w:r w:rsidRPr="00F721D3">
        <w:rPr>
          <w:snapToGrid w:val="0"/>
          <w:color w:val="000000"/>
        </w:rPr>
        <w:t xml:space="preserve"> </w:t>
      </w:r>
    </w:p>
    <w:p w14:paraId="0693B567" w14:textId="77777777" w:rsidR="00E642CB" w:rsidRPr="00F721D3" w:rsidRDefault="00E642CB" w:rsidP="00D3604D">
      <w:pPr>
        <w:numPr>
          <w:ilvl w:val="0"/>
          <w:numId w:val="23"/>
        </w:numPr>
        <w:tabs>
          <w:tab w:val="clear" w:pos="2123"/>
          <w:tab w:val="num" w:pos="1915"/>
        </w:tabs>
        <w:ind w:left="497" w:right="16" w:hanging="421"/>
        <w:jc w:val="both"/>
        <w:rPr>
          <w:snapToGrid w:val="0"/>
          <w:color w:val="000000"/>
        </w:rPr>
      </w:pPr>
      <w:r w:rsidRPr="00F721D3">
        <w:rPr>
          <w:snapToGrid w:val="0"/>
          <w:color w:val="000000"/>
        </w:rPr>
        <w:t xml:space="preserve">la banque </w:t>
      </w:r>
      <w:r>
        <w:rPr>
          <w:snapToGrid w:val="0"/>
          <w:color w:val="000000"/>
        </w:rPr>
        <w:t>paie la facture au fournisseur ;</w:t>
      </w:r>
      <w:r w:rsidRPr="00F721D3">
        <w:rPr>
          <w:snapToGrid w:val="0"/>
          <w:color w:val="000000"/>
        </w:rPr>
        <w:t xml:space="preserve"> </w:t>
      </w:r>
    </w:p>
    <w:p w14:paraId="0693B568" w14:textId="77777777" w:rsidR="00E642CB" w:rsidRPr="00F721D3" w:rsidRDefault="00E642CB" w:rsidP="00D3604D">
      <w:pPr>
        <w:numPr>
          <w:ilvl w:val="0"/>
          <w:numId w:val="23"/>
        </w:numPr>
        <w:tabs>
          <w:tab w:val="clear" w:pos="2123"/>
          <w:tab w:val="num" w:pos="1915"/>
        </w:tabs>
        <w:ind w:left="497" w:right="16" w:hanging="421"/>
        <w:jc w:val="both"/>
        <w:rPr>
          <w:snapToGrid w:val="0"/>
          <w:color w:val="000000"/>
        </w:rPr>
      </w:pPr>
      <w:r w:rsidRPr="00F721D3">
        <w:rPr>
          <w:snapToGrid w:val="0"/>
          <w:color w:val="000000"/>
        </w:rPr>
        <w:t>le client paye la location mensuelle à sa banque.</w:t>
      </w:r>
    </w:p>
    <w:p w14:paraId="0693B569" w14:textId="77777777" w:rsidR="00E642CB" w:rsidRPr="00F721D3" w:rsidRDefault="00E642CB" w:rsidP="00D3604D">
      <w:pPr>
        <w:spacing w:before="120"/>
        <w:ind w:left="72" w:right="17"/>
        <w:jc w:val="both"/>
        <w:rPr>
          <w:snapToGrid w:val="0"/>
          <w:color w:val="000000"/>
        </w:rPr>
      </w:pPr>
      <w:r w:rsidRPr="00F721D3">
        <w:rPr>
          <w:snapToGrid w:val="0"/>
          <w:color w:val="000000"/>
        </w:rPr>
        <w:t xml:space="preserve">Il existe deux formules principales : leasing financier et leasing opérationnel </w:t>
      </w:r>
    </w:p>
    <w:p w14:paraId="0693B56A" w14:textId="77777777" w:rsidR="00E642CB" w:rsidRPr="00F721D3" w:rsidRDefault="00E642CB" w:rsidP="00D3604D">
      <w:pPr>
        <w:spacing w:before="120"/>
        <w:ind w:left="72" w:right="17"/>
        <w:jc w:val="both"/>
        <w:rPr>
          <w:snapToGrid w:val="0"/>
          <w:color w:val="000000"/>
        </w:rPr>
      </w:pPr>
      <w:r w:rsidRPr="00F721D3">
        <w:rPr>
          <w:b/>
          <w:snapToGrid w:val="0"/>
          <w:color w:val="000000"/>
        </w:rPr>
        <w:t>Le leasing financier</w:t>
      </w:r>
      <w:r w:rsidRPr="00F721D3">
        <w:rPr>
          <w:snapToGrid w:val="0"/>
          <w:color w:val="000000"/>
        </w:rPr>
        <w:t xml:space="preserve"> est la forme de leasing la plus répandue. Son but est presque toujours d’acquérir le matériel loué. Il s’agit dès lors d’une alternative à l’achat ou au financement. L’option d’achat peut être levée librement ou non. </w:t>
      </w:r>
    </w:p>
    <w:p w14:paraId="0693B56B" w14:textId="77777777" w:rsidR="00E642CB" w:rsidRPr="00F721D3" w:rsidRDefault="00E642CB" w:rsidP="00D3604D">
      <w:pPr>
        <w:spacing w:before="120"/>
        <w:ind w:left="72" w:right="17"/>
        <w:jc w:val="both"/>
        <w:rPr>
          <w:snapToGrid w:val="0"/>
          <w:color w:val="000000"/>
        </w:rPr>
      </w:pPr>
      <w:r w:rsidRPr="00F721D3">
        <w:rPr>
          <w:b/>
          <w:snapToGrid w:val="0"/>
          <w:color w:val="000000"/>
        </w:rPr>
        <w:t>Le leasing opérationnel</w:t>
      </w:r>
      <w:r w:rsidRPr="00F721D3">
        <w:rPr>
          <w:snapToGrid w:val="0"/>
          <w:color w:val="000000"/>
        </w:rPr>
        <w:t xml:space="preserve"> se prête davantage à une location où l’utilisation pure et simple prime. En général, le contrat ne prévoit pas de possibilité d’achat. En revanche, cette formule prévoit presque toujours un service supplémentaire. Elle est intéressante si, outre le coût de financement proprement dit, le client souhaite également budgétiser à l’avance tous les frais d’entretien, de réparation et de gestion.</w:t>
      </w:r>
    </w:p>
    <w:p w14:paraId="0693B56C" w14:textId="77777777" w:rsidR="00E642CB" w:rsidRPr="0056383D" w:rsidRDefault="00E642CB" w:rsidP="001F7D23">
      <w:pPr>
        <w:pStyle w:val="Titre4"/>
        <w:rPr>
          <w:snapToGrid w:val="0"/>
        </w:rPr>
      </w:pPr>
      <w:bookmarkStart w:id="212" w:name="_Toc189380915"/>
      <w:r w:rsidRPr="0056383D">
        <w:rPr>
          <w:snapToGrid w:val="0"/>
        </w:rPr>
        <w:t>Crédit “ Renting</w:t>
      </w:r>
      <w:r w:rsidR="0041495B" w:rsidRPr="0056383D">
        <w:rPr>
          <w:snapToGrid w:val="0"/>
        </w:rPr>
        <w:fldChar w:fldCharType="begin"/>
      </w:r>
      <w:r w:rsidRPr="0056383D">
        <w:rPr>
          <w:snapToGrid w:val="0"/>
        </w:rPr>
        <w:instrText xml:space="preserve"> XE "</w:instrText>
      </w:r>
      <w:r w:rsidRPr="0056383D">
        <w:instrText>Renting"</w:instrText>
      </w:r>
      <w:r w:rsidRPr="0056383D">
        <w:rPr>
          <w:snapToGrid w:val="0"/>
        </w:rPr>
        <w:instrText xml:space="preserve"> </w:instrText>
      </w:r>
      <w:r w:rsidR="0041495B" w:rsidRPr="0056383D">
        <w:rPr>
          <w:snapToGrid w:val="0"/>
        </w:rPr>
        <w:fldChar w:fldCharType="end"/>
      </w:r>
      <w:r w:rsidRPr="0056383D">
        <w:rPr>
          <w:snapToGrid w:val="0"/>
        </w:rPr>
        <w:t> ”</w:t>
      </w:r>
      <w:bookmarkEnd w:id="212"/>
    </w:p>
    <w:p w14:paraId="0693B56D" w14:textId="77777777" w:rsidR="00E642CB" w:rsidRPr="0056383D" w:rsidRDefault="00E642CB" w:rsidP="00D3604D">
      <w:pPr>
        <w:ind w:right="16"/>
        <w:jc w:val="both"/>
        <w:rPr>
          <w:snapToGrid w:val="0"/>
          <w:color w:val="000000"/>
        </w:rPr>
      </w:pPr>
      <w:r w:rsidRPr="0056383D">
        <w:rPr>
          <w:snapToGrid w:val="0"/>
          <w:color w:val="000000"/>
        </w:rPr>
        <w:t>Cf. Leasing, mais sans option de rachat.</w:t>
      </w:r>
      <w:r>
        <w:rPr>
          <w:snapToGrid w:val="0"/>
          <w:color w:val="000000"/>
        </w:rPr>
        <w:t xml:space="preserve"> Taux : +/- 8 %. </w:t>
      </w:r>
    </w:p>
    <w:p w14:paraId="0693B56E" w14:textId="77777777" w:rsidR="00E642CB" w:rsidRPr="0056383D" w:rsidRDefault="00E642CB" w:rsidP="001F7D23">
      <w:pPr>
        <w:pStyle w:val="Titre4"/>
        <w:rPr>
          <w:snapToGrid w:val="0"/>
        </w:rPr>
      </w:pPr>
      <w:bookmarkStart w:id="213" w:name="_Toc189380916"/>
      <w:r w:rsidRPr="0056383D">
        <w:rPr>
          <w:snapToGrid w:val="0"/>
        </w:rPr>
        <w:t>Prêt “ équipement ”</w:t>
      </w:r>
      <w:bookmarkEnd w:id="213"/>
    </w:p>
    <w:p w14:paraId="0693B56F" w14:textId="77777777" w:rsidR="00E642CB" w:rsidRPr="0056383D" w:rsidRDefault="00E642CB" w:rsidP="00D3604D">
      <w:pPr>
        <w:ind w:right="16"/>
        <w:jc w:val="both"/>
        <w:rPr>
          <w:snapToGrid w:val="0"/>
          <w:color w:val="000000"/>
        </w:rPr>
      </w:pPr>
      <w:r w:rsidRPr="0056383D">
        <w:rPr>
          <w:snapToGrid w:val="0"/>
          <w:color w:val="000000"/>
        </w:rPr>
        <w:t>Ce crédit est destiné, comme son nom l’indique, à financer l’achat d’équipements destinés à l’entreprise. La particularité étant que ce prêt jouit d’une formule simplifié</w:t>
      </w:r>
      <w:r>
        <w:rPr>
          <w:snapToGrid w:val="0"/>
          <w:color w:val="000000"/>
        </w:rPr>
        <w:t>e</w:t>
      </w:r>
      <w:r w:rsidRPr="0056383D">
        <w:rPr>
          <w:snapToGrid w:val="0"/>
          <w:color w:val="000000"/>
        </w:rPr>
        <w:t xml:space="preserve"> et rapide d’octroi.</w:t>
      </w:r>
    </w:p>
    <w:p w14:paraId="0693B570" w14:textId="77777777" w:rsidR="00E642CB" w:rsidRPr="0056383D" w:rsidRDefault="00E642CB" w:rsidP="00D3604D">
      <w:pPr>
        <w:ind w:right="16"/>
        <w:jc w:val="both"/>
        <w:rPr>
          <w:snapToGrid w:val="0"/>
          <w:color w:val="000000"/>
        </w:rPr>
      </w:pPr>
      <w:r w:rsidRPr="0056383D">
        <w:rPr>
          <w:snapToGrid w:val="0"/>
          <w:color w:val="000000"/>
        </w:rPr>
        <w:t xml:space="preserve">Le montant peut aller de 1 500 € à </w:t>
      </w:r>
      <w:r>
        <w:rPr>
          <w:snapToGrid w:val="0"/>
          <w:color w:val="000000"/>
        </w:rPr>
        <w:t>1 </w:t>
      </w:r>
      <w:r w:rsidRPr="0056383D">
        <w:rPr>
          <w:snapToGrid w:val="0"/>
          <w:color w:val="000000"/>
        </w:rPr>
        <w:t>2</w:t>
      </w:r>
      <w:r>
        <w:rPr>
          <w:snapToGrid w:val="0"/>
          <w:color w:val="000000"/>
        </w:rPr>
        <w:t>4</w:t>
      </w:r>
      <w:r w:rsidRPr="0056383D">
        <w:rPr>
          <w:snapToGrid w:val="0"/>
          <w:color w:val="000000"/>
        </w:rPr>
        <w:t>0 000 €, couvrant le prix HTVA du bien (neuf ou d’occasion) acquis.</w:t>
      </w:r>
      <w:r>
        <w:rPr>
          <w:snapToGrid w:val="0"/>
          <w:color w:val="000000"/>
        </w:rPr>
        <w:t xml:space="preserve"> La durée varie de 10 à 12 ans.</w:t>
      </w:r>
    </w:p>
    <w:p w14:paraId="0693B571" w14:textId="77777777" w:rsidR="00E642CB" w:rsidRPr="0056383D" w:rsidRDefault="00E642CB" w:rsidP="00D3604D">
      <w:pPr>
        <w:ind w:right="16"/>
        <w:jc w:val="both"/>
        <w:rPr>
          <w:snapToGrid w:val="0"/>
          <w:color w:val="000000"/>
        </w:rPr>
      </w:pPr>
      <w:r w:rsidRPr="0056383D">
        <w:rPr>
          <w:snapToGrid w:val="0"/>
          <w:color w:val="000000"/>
        </w:rPr>
        <w:t>Les remboursements sont constants et leur périodicité peut varier du mois à l’année.</w:t>
      </w:r>
      <w:r>
        <w:rPr>
          <w:snapToGrid w:val="0"/>
          <w:color w:val="000000"/>
        </w:rPr>
        <w:t xml:space="preserve"> Taux : 2 à 3 %.</w:t>
      </w:r>
    </w:p>
    <w:p w14:paraId="0693B572" w14:textId="77777777" w:rsidR="00E642CB" w:rsidRPr="0056383D" w:rsidRDefault="00E642CB" w:rsidP="001F7D23">
      <w:pPr>
        <w:pStyle w:val="Titre4"/>
        <w:rPr>
          <w:snapToGrid w:val="0"/>
        </w:rPr>
      </w:pPr>
      <w:bookmarkStart w:id="214" w:name="_Toc189380917"/>
      <w:r w:rsidRPr="0056383D">
        <w:rPr>
          <w:snapToGrid w:val="0"/>
        </w:rPr>
        <w:t>Emprunt obligataire</w:t>
      </w:r>
      <w:bookmarkEnd w:id="214"/>
    </w:p>
    <w:p w14:paraId="0693B573" w14:textId="77777777" w:rsidR="00E642CB" w:rsidRPr="0056383D" w:rsidRDefault="00E642CB" w:rsidP="00D3604D">
      <w:pPr>
        <w:ind w:right="16"/>
        <w:jc w:val="both"/>
        <w:rPr>
          <w:snapToGrid w:val="0"/>
          <w:color w:val="000000"/>
        </w:rPr>
      </w:pPr>
      <w:r w:rsidRPr="0056383D">
        <w:rPr>
          <w:snapToGrid w:val="0"/>
          <w:color w:val="000000"/>
        </w:rPr>
        <w:t xml:space="preserve">Voir le chapitre </w:t>
      </w:r>
      <w:r w:rsidRPr="0056383D">
        <w:rPr>
          <w:b/>
          <w:i/>
          <w:snapToGrid w:val="0"/>
          <w:color w:val="000000"/>
        </w:rPr>
        <w:t>Marché des Capitaux</w:t>
      </w:r>
      <w:r w:rsidRPr="0056383D">
        <w:rPr>
          <w:snapToGrid w:val="0"/>
          <w:color w:val="000000"/>
        </w:rPr>
        <w:t>, dans la partie relative aux différents types d’obligations.</w:t>
      </w:r>
      <w:r>
        <w:rPr>
          <w:snapToGrid w:val="0"/>
          <w:color w:val="000000"/>
        </w:rPr>
        <w:t xml:space="preserve"> Taux : 3 à 8 % sur 5 à 15 ans.</w:t>
      </w:r>
    </w:p>
    <w:p w14:paraId="0693B574" w14:textId="77777777" w:rsidR="00E642CB" w:rsidRPr="0056383D" w:rsidRDefault="00E642CB" w:rsidP="00E101C5">
      <w:pPr>
        <w:pStyle w:val="Titre3"/>
        <w:rPr>
          <w:snapToGrid w:val="0"/>
        </w:rPr>
      </w:pPr>
      <w:bookmarkStart w:id="215" w:name="_Toc189380918"/>
      <w:bookmarkStart w:id="216" w:name="_Toc482815606"/>
      <w:r w:rsidRPr="0056383D">
        <w:rPr>
          <w:snapToGrid w:val="0"/>
        </w:rPr>
        <w:t>Crédits destinés à l’exploitation de l’entreprise</w:t>
      </w:r>
      <w:bookmarkEnd w:id="215"/>
      <w:bookmarkEnd w:id="216"/>
      <w:r w:rsidR="0041495B">
        <w:rPr>
          <w:snapToGrid w:val="0"/>
        </w:rPr>
        <w:fldChar w:fldCharType="begin"/>
      </w:r>
      <w:r>
        <w:instrText xml:space="preserve"> TC "</w:instrText>
      </w:r>
      <w:bookmarkStart w:id="217" w:name="_Toc189382515"/>
      <w:bookmarkStart w:id="218" w:name="_Toc189382906"/>
      <w:bookmarkStart w:id="219" w:name="_Toc189383120"/>
      <w:bookmarkStart w:id="220" w:name="_Toc189383213"/>
      <w:bookmarkStart w:id="221" w:name="_Toc192996380"/>
      <w:bookmarkStart w:id="222" w:name="_Toc279042801"/>
      <w:r w:rsidRPr="00D3384B">
        <w:rPr>
          <w:snapToGrid w:val="0"/>
        </w:rPr>
        <w:instrText>Crédits destinés à l’exploitation de l’entreprise</w:instrText>
      </w:r>
      <w:bookmarkEnd w:id="217"/>
      <w:bookmarkEnd w:id="218"/>
      <w:bookmarkEnd w:id="219"/>
      <w:bookmarkEnd w:id="220"/>
      <w:bookmarkEnd w:id="221"/>
      <w:bookmarkEnd w:id="222"/>
      <w:r>
        <w:instrText xml:space="preserve">" \f C \l "4" </w:instrText>
      </w:r>
      <w:r w:rsidR="0041495B">
        <w:rPr>
          <w:snapToGrid w:val="0"/>
        </w:rPr>
        <w:fldChar w:fldCharType="end"/>
      </w:r>
    </w:p>
    <w:p w14:paraId="0693B575" w14:textId="77777777" w:rsidR="00E642CB" w:rsidRPr="0056383D" w:rsidRDefault="00E642CB" w:rsidP="001F7D23">
      <w:pPr>
        <w:pStyle w:val="Titre4"/>
        <w:rPr>
          <w:snapToGrid w:val="0"/>
        </w:rPr>
      </w:pPr>
      <w:bookmarkStart w:id="223" w:name="_Toc189380919"/>
      <w:r w:rsidRPr="0056383D">
        <w:rPr>
          <w:snapToGrid w:val="0"/>
        </w:rPr>
        <w:t>Crédit d’escompte</w:t>
      </w:r>
      <w:bookmarkEnd w:id="223"/>
    </w:p>
    <w:p w14:paraId="0693B576" w14:textId="77777777" w:rsidR="00E642CB" w:rsidRPr="0056383D" w:rsidRDefault="00E642CB" w:rsidP="00D3604D">
      <w:pPr>
        <w:ind w:right="16"/>
        <w:jc w:val="both"/>
        <w:rPr>
          <w:snapToGrid w:val="0"/>
          <w:color w:val="000000"/>
        </w:rPr>
      </w:pPr>
      <w:r w:rsidRPr="0056383D">
        <w:rPr>
          <w:snapToGrid w:val="0"/>
          <w:color w:val="000000"/>
        </w:rPr>
        <w:t xml:space="preserve">C’est un crédit par lequel la banque rachète un </w:t>
      </w:r>
      <w:r w:rsidRPr="000649BA">
        <w:rPr>
          <w:b/>
          <w:i/>
          <w:snapToGrid w:val="0"/>
          <w:color w:val="000000"/>
        </w:rPr>
        <w:t>effet de commerce</w:t>
      </w:r>
      <w:r>
        <w:rPr>
          <w:rStyle w:val="Appelnotedebasdep"/>
          <w:snapToGrid w:val="0"/>
          <w:color w:val="000000"/>
        </w:rPr>
        <w:footnoteReference w:id="22"/>
      </w:r>
      <w:r w:rsidRPr="0056383D">
        <w:rPr>
          <w:snapToGrid w:val="0"/>
          <w:color w:val="000000"/>
        </w:rPr>
        <w:t xml:space="preserve"> avant son échéance, en s’engageant à accepter des remises à l’escompte de cet effet à concurrence d’une certain montant déterminé par le “ plafond du crédit d’escompte ”.</w:t>
      </w:r>
    </w:p>
    <w:p w14:paraId="0693B577" w14:textId="77777777" w:rsidR="00E642CB" w:rsidRPr="0056383D" w:rsidRDefault="00E642CB" w:rsidP="00D3604D">
      <w:pPr>
        <w:ind w:right="16"/>
        <w:jc w:val="both"/>
        <w:rPr>
          <w:snapToGrid w:val="0"/>
          <w:color w:val="000000"/>
        </w:rPr>
      </w:pPr>
      <w:r w:rsidRPr="0056383D">
        <w:rPr>
          <w:snapToGrid w:val="0"/>
          <w:color w:val="000000"/>
        </w:rPr>
        <w:t>Le taux est calculé en fonction du taux de réescompte pratiqué par la Banque Nationale</w:t>
      </w:r>
      <w:r w:rsidR="0041495B" w:rsidRPr="0056383D">
        <w:rPr>
          <w:snapToGrid w:val="0"/>
          <w:color w:val="000000"/>
        </w:rPr>
        <w:fldChar w:fldCharType="begin"/>
      </w:r>
      <w:r w:rsidRPr="0056383D">
        <w:rPr>
          <w:snapToGrid w:val="0"/>
          <w:color w:val="000000"/>
        </w:rPr>
        <w:instrText xml:space="preserve"> XE "</w:instrText>
      </w:r>
      <w:r w:rsidRPr="0056383D">
        <w:instrText>Banque Nationale"</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sur l</w:t>
      </w:r>
      <w:r>
        <w:rPr>
          <w:snapToGrid w:val="0"/>
          <w:color w:val="000000"/>
        </w:rPr>
        <w:t>e</w:t>
      </w:r>
      <w:r w:rsidRPr="0056383D">
        <w:rPr>
          <w:snapToGrid w:val="0"/>
          <w:color w:val="000000"/>
        </w:rPr>
        <w:t xml:space="preserve"> marché monétaire (voir chapitre précédent).</w:t>
      </w:r>
    </w:p>
    <w:p w14:paraId="0693B578" w14:textId="77777777" w:rsidR="00E642CB" w:rsidRPr="0056383D" w:rsidRDefault="00E642CB" w:rsidP="00D3604D">
      <w:pPr>
        <w:ind w:right="16"/>
        <w:jc w:val="both"/>
        <w:rPr>
          <w:snapToGrid w:val="0"/>
          <w:color w:val="000000"/>
        </w:rPr>
      </w:pPr>
      <w:r w:rsidRPr="0056383D">
        <w:rPr>
          <w:snapToGrid w:val="0"/>
          <w:color w:val="000000"/>
        </w:rPr>
        <w:t xml:space="preserve">La différence généralement constatée entre le paiement au comptant et l’usage du crédit d’escompte est de </w:t>
      </w:r>
      <w:r>
        <w:rPr>
          <w:snapToGrid w:val="0"/>
          <w:color w:val="000000"/>
        </w:rPr>
        <w:t>3 %</w:t>
      </w:r>
      <w:r w:rsidRPr="0056383D">
        <w:rPr>
          <w:snapToGrid w:val="0"/>
          <w:color w:val="000000"/>
        </w:rPr>
        <w:t xml:space="preserve"> à </w:t>
      </w:r>
      <w:r>
        <w:rPr>
          <w:snapToGrid w:val="0"/>
          <w:color w:val="000000"/>
        </w:rPr>
        <w:t>8</w:t>
      </w:r>
      <w:r w:rsidRPr="0056383D">
        <w:rPr>
          <w:snapToGrid w:val="0"/>
          <w:color w:val="000000"/>
        </w:rPr>
        <w:t> %</w:t>
      </w:r>
      <w:r>
        <w:rPr>
          <w:snapToGrid w:val="0"/>
          <w:color w:val="000000"/>
        </w:rPr>
        <w:t xml:space="preserve"> (compter un peu plus que l’EURIBOR) selon les banques (source : NYSE-EURONEXT).</w:t>
      </w:r>
    </w:p>
    <w:p w14:paraId="0693B579" w14:textId="77777777" w:rsidR="00E642CB" w:rsidRPr="0056383D" w:rsidRDefault="00E642CB" w:rsidP="00D3604D">
      <w:pPr>
        <w:ind w:right="16"/>
        <w:jc w:val="both"/>
        <w:rPr>
          <w:snapToGrid w:val="0"/>
          <w:color w:val="000000"/>
        </w:rPr>
      </w:pPr>
      <w:r w:rsidRPr="0056383D">
        <w:rPr>
          <w:snapToGrid w:val="0"/>
          <w:color w:val="000000"/>
        </w:rPr>
        <w:t>(Les textes qui suivent, en italique, sont extraits de la publication “ Connaître la Banque - Perspectives 3 ” de la Générale de Banque.)</w:t>
      </w:r>
    </w:p>
    <w:p w14:paraId="0693B57A" w14:textId="77777777" w:rsidR="00E642CB" w:rsidRPr="00D3604D" w:rsidRDefault="00E642CB" w:rsidP="00D3604D">
      <w:pPr>
        <w:spacing w:before="480"/>
        <w:rPr>
          <w:b/>
          <w:snapToGrid w:val="0"/>
          <w:sz w:val="24"/>
        </w:rPr>
      </w:pPr>
      <w:bookmarkStart w:id="224" w:name="_Toc189380920"/>
      <w:r w:rsidRPr="00D3604D">
        <w:rPr>
          <w:b/>
          <w:snapToGrid w:val="0"/>
          <w:sz w:val="24"/>
        </w:rPr>
        <w:t>Escompte cédant</w:t>
      </w:r>
      <w:r w:rsidR="0041495B" w:rsidRPr="00D3604D">
        <w:rPr>
          <w:b/>
          <w:snapToGrid w:val="0"/>
          <w:sz w:val="24"/>
        </w:rPr>
        <w:fldChar w:fldCharType="begin"/>
      </w:r>
      <w:r w:rsidRPr="00D3604D">
        <w:rPr>
          <w:b/>
          <w:snapToGrid w:val="0"/>
          <w:sz w:val="24"/>
        </w:rPr>
        <w:instrText xml:space="preserve"> XE "</w:instrText>
      </w:r>
      <w:r w:rsidRPr="00D3604D">
        <w:rPr>
          <w:b/>
          <w:sz w:val="24"/>
        </w:rPr>
        <w:instrText>Escompte cédant"</w:instrText>
      </w:r>
      <w:r w:rsidRPr="00D3604D">
        <w:rPr>
          <w:b/>
          <w:snapToGrid w:val="0"/>
          <w:sz w:val="24"/>
        </w:rPr>
        <w:instrText xml:space="preserve"> </w:instrText>
      </w:r>
      <w:r w:rsidR="0041495B" w:rsidRPr="00D3604D">
        <w:rPr>
          <w:b/>
          <w:snapToGrid w:val="0"/>
          <w:sz w:val="24"/>
        </w:rPr>
        <w:fldChar w:fldCharType="end"/>
      </w:r>
      <w:r w:rsidRPr="00D3604D">
        <w:rPr>
          <w:b/>
          <w:snapToGrid w:val="0"/>
          <w:sz w:val="24"/>
        </w:rPr>
        <w:t xml:space="preserve"> (= mobilisation des ventes)</w:t>
      </w:r>
      <w:bookmarkEnd w:id="224"/>
    </w:p>
    <w:p w14:paraId="0693B57B" w14:textId="77777777" w:rsidR="00E642CB" w:rsidRPr="0056383D" w:rsidRDefault="00E642CB" w:rsidP="00D3604D">
      <w:pPr>
        <w:spacing w:before="240"/>
        <w:ind w:left="1" w:right="16"/>
        <w:jc w:val="both"/>
        <w:rPr>
          <w:i/>
          <w:snapToGrid w:val="0"/>
          <w:color w:val="000000"/>
        </w:rPr>
      </w:pPr>
      <w:r w:rsidRPr="0056383D">
        <w:rPr>
          <w:i/>
          <w:snapToGrid w:val="0"/>
          <w:color w:val="000000"/>
        </w:rPr>
        <w:lastRenderedPageBreak/>
        <w:t>“ La banque s’engage à acheter au cédant, à concurrence d’un certain montant, des traites, acceptées ou non, non échues, tracées par ce dernier sur ses clients connus, et sous réserve de bonne fin de l’opération. Les traites sont endossées par le cédant (qui est le crédité) à l’ordre de la banque qui accorde le crédit. ”</w:t>
      </w:r>
    </w:p>
    <w:p w14:paraId="0693B57C" w14:textId="77777777" w:rsidR="00E642CB" w:rsidRPr="0056383D" w:rsidRDefault="00E642CB" w:rsidP="00D3604D">
      <w:pPr>
        <w:spacing w:before="240"/>
        <w:ind w:left="1" w:right="16"/>
        <w:jc w:val="both"/>
        <w:rPr>
          <w:snapToGrid w:val="0"/>
          <w:color w:val="000000"/>
        </w:rPr>
      </w:pPr>
      <w:r w:rsidRPr="0056383D">
        <w:rPr>
          <w:snapToGrid w:val="0"/>
          <w:color w:val="000000"/>
        </w:rPr>
        <w:t>Schématiquement :</w:t>
      </w:r>
    </w:p>
    <w:p w14:paraId="0693B57D" w14:textId="77777777" w:rsidR="00E642CB" w:rsidRDefault="00FB0892" w:rsidP="00D3604D">
      <w:pPr>
        <w:spacing w:before="100" w:beforeAutospacing="1" w:after="100" w:afterAutospacing="1" w:line="220" w:lineRule="atLeast"/>
        <w:ind w:left="1"/>
        <w:rPr>
          <w:rStyle w:val="titleniv11"/>
          <w:sz w:val="24"/>
        </w:rPr>
      </w:pPr>
      <w:r>
        <w:rPr>
          <w:noProof/>
          <w:color w:val="4F7396"/>
          <w:sz w:val="24"/>
          <w:szCs w:val="26"/>
          <w:lang w:eastAsia="fr-BE"/>
        </w:rPr>
        <mc:AlternateContent>
          <mc:Choice Requires="wpc">
            <w:drawing>
              <wp:inline distT="0" distB="0" distL="0" distR="0" wp14:anchorId="0693BADE" wp14:editId="0693BADF">
                <wp:extent cx="3657600" cy="2057400"/>
                <wp:effectExtent l="0" t="0" r="0" b="0"/>
                <wp:docPr id="85" name="Zone de dessin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 name="AutoShape 38"/>
                        <wps:cNvSpPr>
                          <a:spLocks noChangeArrowheads="1"/>
                        </wps:cNvSpPr>
                        <wps:spPr bwMode="auto">
                          <a:xfrm>
                            <a:off x="91440" y="228600"/>
                            <a:ext cx="822960" cy="365760"/>
                          </a:xfrm>
                          <a:prstGeom prst="roundRect">
                            <a:avLst>
                              <a:gd name="adj" fmla="val 16667"/>
                            </a:avLst>
                          </a:prstGeom>
                          <a:solidFill>
                            <a:srgbClr val="FFFFFF"/>
                          </a:solidFill>
                          <a:ln w="9525">
                            <a:solidFill>
                              <a:srgbClr val="000000"/>
                            </a:solidFill>
                            <a:round/>
                            <a:headEnd/>
                            <a:tailEnd/>
                          </a:ln>
                        </wps:spPr>
                        <wps:txbx>
                          <w:txbxContent>
                            <w:p w14:paraId="0693BB36" w14:textId="77777777" w:rsidR="00105A84" w:rsidRPr="00D36E23" w:rsidRDefault="00105A84" w:rsidP="00E642CB">
                              <w:pPr>
                                <w:rPr>
                                  <w:sz w:val="16"/>
                                </w:rPr>
                              </w:pPr>
                              <w:r w:rsidRPr="00D36E23">
                                <w:rPr>
                                  <w:sz w:val="16"/>
                                </w:rPr>
                                <w:t>Banque du tireur</w:t>
                              </w:r>
                            </w:p>
                            <w:p w14:paraId="0693BB37" w14:textId="77777777" w:rsidR="00105A84" w:rsidRPr="00D36E23" w:rsidRDefault="00105A84" w:rsidP="00E642CB">
                              <w:pPr>
                                <w:rPr>
                                  <w:sz w:val="16"/>
                                </w:rPr>
                              </w:pPr>
                            </w:p>
                          </w:txbxContent>
                        </wps:txbx>
                        <wps:bodyPr rot="0" vert="horz" wrap="square" lIns="73152" tIns="36576" rIns="73152" bIns="36576" anchor="t" anchorCtr="0" upright="1">
                          <a:noAutofit/>
                        </wps:bodyPr>
                      </wps:wsp>
                      <wps:wsp>
                        <wps:cNvPr id="57" name="AutoShape 39"/>
                        <wps:cNvSpPr>
                          <a:spLocks noChangeArrowheads="1"/>
                        </wps:cNvSpPr>
                        <wps:spPr bwMode="auto">
                          <a:xfrm>
                            <a:off x="91440" y="1508760"/>
                            <a:ext cx="822960" cy="365760"/>
                          </a:xfrm>
                          <a:prstGeom prst="roundRect">
                            <a:avLst>
                              <a:gd name="adj" fmla="val 16667"/>
                            </a:avLst>
                          </a:prstGeom>
                          <a:solidFill>
                            <a:srgbClr val="FFFFFF"/>
                          </a:solidFill>
                          <a:ln w="9525">
                            <a:solidFill>
                              <a:srgbClr val="000000"/>
                            </a:solidFill>
                            <a:round/>
                            <a:headEnd/>
                            <a:tailEnd/>
                          </a:ln>
                        </wps:spPr>
                        <wps:txbx>
                          <w:txbxContent>
                            <w:p w14:paraId="0693BB38" w14:textId="77777777" w:rsidR="00105A84" w:rsidRPr="00D36E23" w:rsidRDefault="00105A84" w:rsidP="00E642CB">
                              <w:pPr>
                                <w:rPr>
                                  <w:sz w:val="16"/>
                                </w:rPr>
                              </w:pPr>
                              <w:r w:rsidRPr="00D36E23">
                                <w:rPr>
                                  <w:sz w:val="16"/>
                                </w:rPr>
                                <w:t>Vendeur/</w:t>
                              </w:r>
                            </w:p>
                            <w:p w14:paraId="0693BB39" w14:textId="77777777" w:rsidR="00105A84" w:rsidRPr="00D36E23" w:rsidRDefault="00105A84" w:rsidP="00E642CB">
                              <w:pPr>
                                <w:rPr>
                                  <w:sz w:val="16"/>
                                </w:rPr>
                              </w:pPr>
                              <w:r w:rsidRPr="00D36E23">
                                <w:rPr>
                                  <w:sz w:val="16"/>
                                </w:rPr>
                                <w:t>tireur</w:t>
                              </w:r>
                            </w:p>
                          </w:txbxContent>
                        </wps:txbx>
                        <wps:bodyPr rot="0" vert="horz" wrap="square" lIns="73152" tIns="36576" rIns="73152" bIns="36576" anchor="t" anchorCtr="0" upright="1">
                          <a:noAutofit/>
                        </wps:bodyPr>
                      </wps:wsp>
                      <wps:wsp>
                        <wps:cNvPr id="58" name="AutoShape 40"/>
                        <wps:cNvSpPr>
                          <a:spLocks noChangeArrowheads="1"/>
                        </wps:cNvSpPr>
                        <wps:spPr bwMode="auto">
                          <a:xfrm>
                            <a:off x="2743200" y="228600"/>
                            <a:ext cx="822960" cy="365760"/>
                          </a:xfrm>
                          <a:prstGeom prst="roundRect">
                            <a:avLst>
                              <a:gd name="adj" fmla="val 16667"/>
                            </a:avLst>
                          </a:prstGeom>
                          <a:solidFill>
                            <a:srgbClr val="FFFFFF"/>
                          </a:solidFill>
                          <a:ln w="9525">
                            <a:solidFill>
                              <a:srgbClr val="000000"/>
                            </a:solidFill>
                            <a:round/>
                            <a:headEnd/>
                            <a:tailEnd/>
                          </a:ln>
                        </wps:spPr>
                        <wps:txbx>
                          <w:txbxContent>
                            <w:p w14:paraId="0693BB3A" w14:textId="77777777" w:rsidR="00105A84" w:rsidRPr="00D36E23" w:rsidRDefault="00105A84" w:rsidP="00E642CB">
                              <w:pPr>
                                <w:rPr>
                                  <w:sz w:val="16"/>
                                </w:rPr>
                              </w:pPr>
                              <w:r w:rsidRPr="00D36E23">
                                <w:rPr>
                                  <w:sz w:val="16"/>
                                </w:rPr>
                                <w:t>Banque du tiré</w:t>
                              </w:r>
                            </w:p>
                          </w:txbxContent>
                        </wps:txbx>
                        <wps:bodyPr rot="0" vert="horz" wrap="square" lIns="73152" tIns="36576" rIns="73152" bIns="36576" anchor="t" anchorCtr="0" upright="1">
                          <a:noAutofit/>
                        </wps:bodyPr>
                      </wps:wsp>
                      <wps:wsp>
                        <wps:cNvPr id="59" name="AutoShape 41"/>
                        <wps:cNvSpPr>
                          <a:spLocks noChangeArrowheads="1"/>
                        </wps:cNvSpPr>
                        <wps:spPr bwMode="auto">
                          <a:xfrm>
                            <a:off x="2743200" y="1508760"/>
                            <a:ext cx="822960" cy="365760"/>
                          </a:xfrm>
                          <a:prstGeom prst="roundRect">
                            <a:avLst>
                              <a:gd name="adj" fmla="val 16667"/>
                            </a:avLst>
                          </a:prstGeom>
                          <a:solidFill>
                            <a:srgbClr val="FFFFFF"/>
                          </a:solidFill>
                          <a:ln w="9525">
                            <a:solidFill>
                              <a:srgbClr val="000000"/>
                            </a:solidFill>
                            <a:round/>
                            <a:headEnd/>
                            <a:tailEnd/>
                          </a:ln>
                        </wps:spPr>
                        <wps:txbx>
                          <w:txbxContent>
                            <w:p w14:paraId="0693BB3B" w14:textId="77777777" w:rsidR="00105A84" w:rsidRPr="00D36E23" w:rsidRDefault="00105A84" w:rsidP="00E642CB">
                              <w:pPr>
                                <w:rPr>
                                  <w:sz w:val="16"/>
                                </w:rPr>
                              </w:pPr>
                              <w:r>
                                <w:rPr>
                                  <w:sz w:val="16"/>
                                </w:rPr>
                                <w:t>Acheteur/ tiré</w:t>
                              </w:r>
                            </w:p>
                          </w:txbxContent>
                        </wps:txbx>
                        <wps:bodyPr rot="0" vert="horz" wrap="square" lIns="73152" tIns="36576" rIns="73152" bIns="36576" anchor="t" anchorCtr="0" upright="1">
                          <a:noAutofit/>
                        </wps:bodyPr>
                      </wps:wsp>
                      <wps:wsp>
                        <wps:cNvPr id="60" name="Line 42"/>
                        <wps:cNvCnPr/>
                        <wps:spPr bwMode="auto">
                          <a:xfrm>
                            <a:off x="914400" y="32004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3"/>
                        <wps:cNvCnPr/>
                        <wps:spPr bwMode="auto">
                          <a:xfrm flipV="1">
                            <a:off x="274320" y="5943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44"/>
                        <wps:cNvCnPr/>
                        <wps:spPr bwMode="auto">
                          <a:xfrm>
                            <a:off x="640080" y="5943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5"/>
                        <wps:cNvCnPr/>
                        <wps:spPr bwMode="auto">
                          <a:xfrm flipH="1">
                            <a:off x="914400" y="50292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46"/>
                        <wps:cNvCnPr/>
                        <wps:spPr bwMode="auto">
                          <a:xfrm>
                            <a:off x="914400" y="160020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47"/>
                        <wps:cNvCnPr/>
                        <wps:spPr bwMode="auto">
                          <a:xfrm flipH="1">
                            <a:off x="914400" y="178308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48"/>
                        <wps:cNvCnPr/>
                        <wps:spPr bwMode="auto">
                          <a:xfrm>
                            <a:off x="2926080" y="5943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9"/>
                        <wps:cNvCnPr/>
                        <wps:spPr bwMode="auto">
                          <a:xfrm flipV="1">
                            <a:off x="3291840" y="5943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Document"/>
                        <wps:cNvSpPr>
                          <a:spLocks noEditPoints="1" noChangeArrowheads="1"/>
                        </wps:cNvSpPr>
                        <wps:spPr bwMode="auto">
                          <a:xfrm>
                            <a:off x="1737360" y="4572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69" name="Document"/>
                        <wps:cNvSpPr>
                          <a:spLocks noEditPoints="1" noChangeArrowheads="1"/>
                        </wps:cNvSpPr>
                        <wps:spPr bwMode="auto">
                          <a:xfrm>
                            <a:off x="2743200" y="77724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70" name="Document"/>
                        <wps:cNvSpPr>
                          <a:spLocks noEditPoints="1" noChangeArrowheads="1"/>
                        </wps:cNvSpPr>
                        <wps:spPr bwMode="auto">
                          <a:xfrm>
                            <a:off x="1737360" y="132588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0693BB3C" w14:textId="77777777" w:rsidR="00105A84" w:rsidRPr="00D36E23" w:rsidRDefault="00105A84" w:rsidP="00E642CB">
                              <w:pPr>
                                <w:rPr>
                                  <w:sz w:val="16"/>
                                </w:rPr>
                              </w:pPr>
                            </w:p>
                          </w:txbxContent>
                        </wps:txbx>
                        <wps:bodyPr rot="0" vert="horz" wrap="square" lIns="73152" tIns="36576" rIns="73152" bIns="36576" anchor="t" anchorCtr="0" upright="1">
                          <a:noAutofit/>
                        </wps:bodyPr>
                      </wps:wsp>
                      <wps:wsp>
                        <wps:cNvPr id="71" name="Document"/>
                        <wps:cNvSpPr>
                          <a:spLocks noEditPoints="1" noChangeArrowheads="1"/>
                        </wps:cNvSpPr>
                        <wps:spPr bwMode="auto">
                          <a:xfrm>
                            <a:off x="91440" y="105156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72" name="Document"/>
                        <wps:cNvSpPr>
                          <a:spLocks noEditPoints="1" noChangeArrowheads="1"/>
                        </wps:cNvSpPr>
                        <wps:spPr bwMode="auto">
                          <a:xfrm>
                            <a:off x="2103120" y="1783080"/>
                            <a:ext cx="182880" cy="18288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0693BB3D" w14:textId="77777777" w:rsidR="00105A84" w:rsidRPr="00D36E23" w:rsidRDefault="00105A84" w:rsidP="00E642CB">
                              <w:pPr>
                                <w:rPr>
                                  <w:sz w:val="13"/>
                                  <w:szCs w:val="16"/>
                                </w:rPr>
                              </w:pPr>
                              <w:r w:rsidRPr="00D36E23">
                                <w:rPr>
                                  <w:sz w:val="13"/>
                                  <w:szCs w:val="16"/>
                                </w:rPr>
                                <w:t>v</w:t>
                              </w:r>
                            </w:p>
                          </w:txbxContent>
                        </wps:txbx>
                        <wps:bodyPr rot="0" vert="horz" wrap="square" lIns="73152" tIns="36576" rIns="73152" bIns="36576" anchor="t" anchorCtr="0" upright="1">
                          <a:noAutofit/>
                        </wps:bodyPr>
                      </wps:wsp>
                      <wps:wsp>
                        <wps:cNvPr id="73" name="Oval 55"/>
                        <wps:cNvSpPr>
                          <a:spLocks noChangeArrowheads="1"/>
                        </wps:cNvSpPr>
                        <wps:spPr bwMode="auto">
                          <a:xfrm>
                            <a:off x="457200" y="868680"/>
                            <a:ext cx="274320" cy="274320"/>
                          </a:xfrm>
                          <a:prstGeom prst="ellipse">
                            <a:avLst/>
                          </a:prstGeom>
                          <a:solidFill>
                            <a:srgbClr val="FFFFFF"/>
                          </a:solidFill>
                          <a:ln w="9525">
                            <a:solidFill>
                              <a:srgbClr val="000000"/>
                            </a:solidFill>
                            <a:round/>
                            <a:headEnd/>
                            <a:tailEnd/>
                          </a:ln>
                        </wps:spPr>
                        <wps:txbx>
                          <w:txbxContent>
                            <w:p w14:paraId="0693BB3E" w14:textId="77777777" w:rsidR="00105A84" w:rsidRPr="00D36E23" w:rsidRDefault="00105A84" w:rsidP="00E642CB">
                              <w:pPr>
                                <w:rPr>
                                  <w:sz w:val="16"/>
                                </w:rPr>
                              </w:pPr>
                              <w:r w:rsidRPr="00D36E23">
                                <w:rPr>
                                  <w:sz w:val="16"/>
                                </w:rPr>
                                <w:t>$</w:t>
                              </w:r>
                            </w:p>
                          </w:txbxContent>
                        </wps:txbx>
                        <wps:bodyPr rot="0" vert="horz" wrap="square" lIns="73152" tIns="36576" rIns="73152" bIns="36576" anchor="t" anchorCtr="0" upright="1">
                          <a:noAutofit/>
                        </wps:bodyPr>
                      </wps:wsp>
                      <wps:wsp>
                        <wps:cNvPr id="74" name="Oval 56"/>
                        <wps:cNvSpPr>
                          <a:spLocks noChangeArrowheads="1"/>
                        </wps:cNvSpPr>
                        <wps:spPr bwMode="auto">
                          <a:xfrm>
                            <a:off x="1463040" y="411480"/>
                            <a:ext cx="274320" cy="274320"/>
                          </a:xfrm>
                          <a:prstGeom prst="ellipse">
                            <a:avLst/>
                          </a:prstGeom>
                          <a:solidFill>
                            <a:srgbClr val="FFFFFF"/>
                          </a:solidFill>
                          <a:ln w="9525">
                            <a:solidFill>
                              <a:srgbClr val="000000"/>
                            </a:solidFill>
                            <a:round/>
                            <a:headEnd/>
                            <a:tailEnd/>
                          </a:ln>
                        </wps:spPr>
                        <wps:txbx>
                          <w:txbxContent>
                            <w:p w14:paraId="0693BB3F" w14:textId="77777777" w:rsidR="00105A84" w:rsidRPr="00D36E23" w:rsidRDefault="00105A84" w:rsidP="00E642CB">
                              <w:pPr>
                                <w:rPr>
                                  <w:sz w:val="16"/>
                                </w:rPr>
                              </w:pPr>
                              <w:r w:rsidRPr="00D36E23">
                                <w:rPr>
                                  <w:sz w:val="16"/>
                                </w:rPr>
                                <w:t>$</w:t>
                              </w:r>
                            </w:p>
                          </w:txbxContent>
                        </wps:txbx>
                        <wps:bodyPr rot="0" vert="horz" wrap="square" lIns="73152" tIns="36576" rIns="73152" bIns="36576" anchor="t" anchorCtr="0" upright="1">
                          <a:noAutofit/>
                        </wps:bodyPr>
                      </wps:wsp>
                      <wps:wsp>
                        <wps:cNvPr id="75" name="Oval 57"/>
                        <wps:cNvSpPr>
                          <a:spLocks noChangeArrowheads="1"/>
                        </wps:cNvSpPr>
                        <wps:spPr bwMode="auto">
                          <a:xfrm>
                            <a:off x="3108960" y="1051560"/>
                            <a:ext cx="274320" cy="274320"/>
                          </a:xfrm>
                          <a:prstGeom prst="ellipse">
                            <a:avLst/>
                          </a:prstGeom>
                          <a:solidFill>
                            <a:srgbClr val="FFFFFF"/>
                          </a:solidFill>
                          <a:ln w="9525">
                            <a:solidFill>
                              <a:srgbClr val="000000"/>
                            </a:solidFill>
                            <a:round/>
                            <a:headEnd/>
                            <a:tailEnd/>
                          </a:ln>
                        </wps:spPr>
                        <wps:txbx>
                          <w:txbxContent>
                            <w:p w14:paraId="0693BB40" w14:textId="77777777" w:rsidR="00105A84" w:rsidRPr="00D36E23" w:rsidRDefault="00105A84" w:rsidP="00E642CB">
                              <w:pPr>
                                <w:rPr>
                                  <w:sz w:val="16"/>
                                </w:rPr>
                              </w:pPr>
                              <w:r w:rsidRPr="00D36E23">
                                <w:rPr>
                                  <w:sz w:val="16"/>
                                </w:rPr>
                                <w:t>$</w:t>
                              </w:r>
                            </w:p>
                          </w:txbxContent>
                        </wps:txbx>
                        <wps:bodyPr rot="0" vert="horz" wrap="square" lIns="73152" tIns="36576" rIns="73152" bIns="36576" anchor="t" anchorCtr="0" upright="1">
                          <a:noAutofit/>
                        </wps:bodyPr>
                      </wps:wsp>
                      <wps:wsp>
                        <wps:cNvPr id="76" name="Rectangle 58"/>
                        <wps:cNvSpPr>
                          <a:spLocks noChangeArrowheads="1"/>
                        </wps:cNvSpPr>
                        <wps:spPr bwMode="auto">
                          <a:xfrm>
                            <a:off x="548640" y="1234440"/>
                            <a:ext cx="182880" cy="182880"/>
                          </a:xfrm>
                          <a:prstGeom prst="rect">
                            <a:avLst/>
                          </a:prstGeom>
                          <a:solidFill>
                            <a:srgbClr val="FFFFFF"/>
                          </a:solidFill>
                          <a:ln w="9525">
                            <a:solidFill>
                              <a:srgbClr val="000000"/>
                            </a:solidFill>
                            <a:miter lim="800000"/>
                            <a:headEnd/>
                            <a:tailEnd/>
                          </a:ln>
                        </wps:spPr>
                        <wps:txbx>
                          <w:txbxContent>
                            <w:p w14:paraId="0693BB41" w14:textId="77777777" w:rsidR="00105A84" w:rsidRPr="00D36E23" w:rsidRDefault="00105A84" w:rsidP="00E642CB">
                              <w:pPr>
                                <w:rPr>
                                  <w:sz w:val="13"/>
                                </w:rPr>
                              </w:pPr>
                              <w:r w:rsidRPr="00D36E23">
                                <w:rPr>
                                  <w:sz w:val="13"/>
                                </w:rPr>
                                <w:t>4</w:t>
                              </w:r>
                            </w:p>
                          </w:txbxContent>
                        </wps:txbx>
                        <wps:bodyPr rot="0" vert="horz" wrap="square" lIns="73152" tIns="36576" rIns="73152" bIns="36576" anchor="t" anchorCtr="0" upright="1">
                          <a:noAutofit/>
                        </wps:bodyPr>
                      </wps:wsp>
                      <wps:wsp>
                        <wps:cNvPr id="77" name="Rectangle 59"/>
                        <wps:cNvSpPr>
                          <a:spLocks noChangeArrowheads="1"/>
                        </wps:cNvSpPr>
                        <wps:spPr bwMode="auto">
                          <a:xfrm>
                            <a:off x="91440" y="685800"/>
                            <a:ext cx="182880" cy="182880"/>
                          </a:xfrm>
                          <a:prstGeom prst="rect">
                            <a:avLst/>
                          </a:prstGeom>
                          <a:solidFill>
                            <a:srgbClr val="FFFFFF"/>
                          </a:solidFill>
                          <a:ln w="9525">
                            <a:solidFill>
                              <a:srgbClr val="000000"/>
                            </a:solidFill>
                            <a:miter lim="800000"/>
                            <a:headEnd/>
                            <a:tailEnd/>
                          </a:ln>
                        </wps:spPr>
                        <wps:txbx>
                          <w:txbxContent>
                            <w:p w14:paraId="0693BB42" w14:textId="77777777" w:rsidR="00105A84" w:rsidRPr="00D36E23" w:rsidRDefault="00105A84" w:rsidP="00E642CB">
                              <w:pPr>
                                <w:rPr>
                                  <w:sz w:val="13"/>
                                </w:rPr>
                              </w:pPr>
                              <w:r w:rsidRPr="00D36E23">
                                <w:rPr>
                                  <w:sz w:val="13"/>
                                </w:rPr>
                                <w:t>3</w:t>
                              </w:r>
                            </w:p>
                            <w:p w14:paraId="0693BB43" w14:textId="77777777" w:rsidR="00105A84" w:rsidRPr="00D36E23" w:rsidRDefault="00105A84" w:rsidP="00E642CB">
                              <w:pPr>
                                <w:rPr>
                                  <w:sz w:val="16"/>
                                </w:rPr>
                              </w:pPr>
                            </w:p>
                          </w:txbxContent>
                        </wps:txbx>
                        <wps:bodyPr rot="0" vert="horz" wrap="square" lIns="73152" tIns="36576" rIns="73152" bIns="36576" anchor="t" anchorCtr="0" upright="1">
                          <a:noAutofit/>
                        </wps:bodyPr>
                      </wps:wsp>
                      <wps:wsp>
                        <wps:cNvPr id="78" name="Rectangle 60"/>
                        <wps:cNvSpPr>
                          <a:spLocks noChangeArrowheads="1"/>
                        </wps:cNvSpPr>
                        <wps:spPr bwMode="auto">
                          <a:xfrm>
                            <a:off x="2468880" y="228600"/>
                            <a:ext cx="182880" cy="182880"/>
                          </a:xfrm>
                          <a:prstGeom prst="rect">
                            <a:avLst/>
                          </a:prstGeom>
                          <a:solidFill>
                            <a:srgbClr val="FFFFFF"/>
                          </a:solidFill>
                          <a:ln w="9525">
                            <a:solidFill>
                              <a:srgbClr val="000000"/>
                            </a:solidFill>
                            <a:miter lim="800000"/>
                            <a:headEnd/>
                            <a:tailEnd/>
                          </a:ln>
                        </wps:spPr>
                        <wps:txbx>
                          <w:txbxContent>
                            <w:p w14:paraId="0693BB44" w14:textId="77777777" w:rsidR="00105A84" w:rsidRPr="00D36E23" w:rsidRDefault="00105A84" w:rsidP="00E642CB">
                              <w:pPr>
                                <w:rPr>
                                  <w:sz w:val="13"/>
                                  <w:szCs w:val="16"/>
                                </w:rPr>
                              </w:pPr>
                              <w:r w:rsidRPr="00D36E23">
                                <w:rPr>
                                  <w:sz w:val="13"/>
                                  <w:szCs w:val="16"/>
                                </w:rPr>
                                <w:t>5</w:t>
                              </w:r>
                            </w:p>
                          </w:txbxContent>
                        </wps:txbx>
                        <wps:bodyPr rot="0" vert="horz" wrap="square" lIns="73152" tIns="36576" rIns="73152" bIns="36576" anchor="t" anchorCtr="0" upright="1">
                          <a:noAutofit/>
                        </wps:bodyPr>
                      </wps:wsp>
                      <wps:wsp>
                        <wps:cNvPr id="79" name="Rectangle 61"/>
                        <wps:cNvSpPr>
                          <a:spLocks noChangeArrowheads="1"/>
                        </wps:cNvSpPr>
                        <wps:spPr bwMode="auto">
                          <a:xfrm>
                            <a:off x="1005840" y="411480"/>
                            <a:ext cx="182880" cy="182880"/>
                          </a:xfrm>
                          <a:prstGeom prst="rect">
                            <a:avLst/>
                          </a:prstGeom>
                          <a:solidFill>
                            <a:srgbClr val="FFFFFF"/>
                          </a:solidFill>
                          <a:ln w="9525">
                            <a:solidFill>
                              <a:srgbClr val="000000"/>
                            </a:solidFill>
                            <a:miter lim="800000"/>
                            <a:headEnd/>
                            <a:tailEnd/>
                          </a:ln>
                        </wps:spPr>
                        <wps:txbx>
                          <w:txbxContent>
                            <w:p w14:paraId="0693BB45" w14:textId="77777777" w:rsidR="00105A84" w:rsidRPr="00D36E23" w:rsidRDefault="00105A84" w:rsidP="00E642CB">
                              <w:pPr>
                                <w:rPr>
                                  <w:sz w:val="13"/>
                                  <w:szCs w:val="16"/>
                                </w:rPr>
                              </w:pPr>
                              <w:r w:rsidRPr="00D36E23">
                                <w:rPr>
                                  <w:sz w:val="13"/>
                                  <w:szCs w:val="16"/>
                                </w:rPr>
                                <w:t>6</w:t>
                              </w:r>
                            </w:p>
                          </w:txbxContent>
                        </wps:txbx>
                        <wps:bodyPr rot="0" vert="horz" wrap="square" lIns="73152" tIns="36576" rIns="73152" bIns="36576" anchor="t" anchorCtr="0" upright="1">
                          <a:noAutofit/>
                        </wps:bodyPr>
                      </wps:wsp>
                      <wps:wsp>
                        <wps:cNvPr id="80" name="Rectangle 62"/>
                        <wps:cNvSpPr>
                          <a:spLocks noChangeArrowheads="1"/>
                        </wps:cNvSpPr>
                        <wps:spPr bwMode="auto">
                          <a:xfrm>
                            <a:off x="2834640" y="1234440"/>
                            <a:ext cx="182880" cy="182880"/>
                          </a:xfrm>
                          <a:prstGeom prst="rect">
                            <a:avLst/>
                          </a:prstGeom>
                          <a:solidFill>
                            <a:srgbClr val="FFFFFF"/>
                          </a:solidFill>
                          <a:ln w="9525">
                            <a:solidFill>
                              <a:srgbClr val="000000"/>
                            </a:solidFill>
                            <a:miter lim="800000"/>
                            <a:headEnd/>
                            <a:tailEnd/>
                          </a:ln>
                        </wps:spPr>
                        <wps:txbx>
                          <w:txbxContent>
                            <w:p w14:paraId="0693BB46" w14:textId="77777777" w:rsidR="00105A84" w:rsidRPr="00D36E23" w:rsidRDefault="00105A84" w:rsidP="00E642CB">
                              <w:pPr>
                                <w:rPr>
                                  <w:sz w:val="13"/>
                                  <w:szCs w:val="16"/>
                                </w:rPr>
                              </w:pPr>
                              <w:r w:rsidRPr="00D36E23">
                                <w:rPr>
                                  <w:sz w:val="13"/>
                                  <w:szCs w:val="16"/>
                                </w:rPr>
                                <w:t>5</w:t>
                              </w:r>
                            </w:p>
                          </w:txbxContent>
                        </wps:txbx>
                        <wps:bodyPr rot="0" vert="horz" wrap="square" lIns="73152" tIns="36576" rIns="73152" bIns="36576" anchor="t" anchorCtr="0" upright="1">
                          <a:noAutofit/>
                        </wps:bodyPr>
                      </wps:wsp>
                      <wps:wsp>
                        <wps:cNvPr id="81" name="Rectangle 63"/>
                        <wps:cNvSpPr>
                          <a:spLocks noChangeArrowheads="1"/>
                        </wps:cNvSpPr>
                        <wps:spPr bwMode="auto">
                          <a:xfrm>
                            <a:off x="3200400" y="685800"/>
                            <a:ext cx="182880" cy="182880"/>
                          </a:xfrm>
                          <a:prstGeom prst="rect">
                            <a:avLst/>
                          </a:prstGeom>
                          <a:solidFill>
                            <a:srgbClr val="FFFFFF"/>
                          </a:solidFill>
                          <a:ln w="9525">
                            <a:solidFill>
                              <a:srgbClr val="000000"/>
                            </a:solidFill>
                            <a:miter lim="800000"/>
                            <a:headEnd/>
                            <a:tailEnd/>
                          </a:ln>
                        </wps:spPr>
                        <wps:txbx>
                          <w:txbxContent>
                            <w:p w14:paraId="0693BB47" w14:textId="77777777" w:rsidR="00105A84" w:rsidRPr="00D36E23" w:rsidRDefault="00105A84" w:rsidP="00E642CB">
                              <w:pPr>
                                <w:rPr>
                                  <w:sz w:val="13"/>
                                  <w:szCs w:val="16"/>
                                </w:rPr>
                              </w:pPr>
                              <w:r w:rsidRPr="00D36E23">
                                <w:rPr>
                                  <w:sz w:val="13"/>
                                  <w:szCs w:val="16"/>
                                </w:rPr>
                                <w:t>6</w:t>
                              </w:r>
                            </w:p>
                          </w:txbxContent>
                        </wps:txbx>
                        <wps:bodyPr rot="0" vert="horz" wrap="square" lIns="73152" tIns="36576" rIns="73152" bIns="36576" anchor="t" anchorCtr="0" upright="1">
                          <a:noAutofit/>
                        </wps:bodyPr>
                      </wps:wsp>
                      <wps:wsp>
                        <wps:cNvPr id="82" name="Rectangle 64"/>
                        <wps:cNvSpPr>
                          <a:spLocks noChangeArrowheads="1"/>
                        </wps:cNvSpPr>
                        <wps:spPr bwMode="auto">
                          <a:xfrm>
                            <a:off x="1005840" y="1691640"/>
                            <a:ext cx="182880" cy="182880"/>
                          </a:xfrm>
                          <a:prstGeom prst="rect">
                            <a:avLst/>
                          </a:prstGeom>
                          <a:solidFill>
                            <a:srgbClr val="FFFFFF"/>
                          </a:solidFill>
                          <a:ln w="9525">
                            <a:solidFill>
                              <a:srgbClr val="000000"/>
                            </a:solidFill>
                            <a:miter lim="800000"/>
                            <a:headEnd/>
                            <a:tailEnd/>
                          </a:ln>
                        </wps:spPr>
                        <wps:txbx>
                          <w:txbxContent>
                            <w:p w14:paraId="0693BB48" w14:textId="77777777" w:rsidR="00105A84" w:rsidRPr="00D36E23" w:rsidRDefault="00105A84" w:rsidP="00E642CB">
                              <w:pPr>
                                <w:rPr>
                                  <w:sz w:val="13"/>
                                </w:rPr>
                              </w:pPr>
                              <w:r w:rsidRPr="00D36E23">
                                <w:rPr>
                                  <w:sz w:val="13"/>
                                </w:rPr>
                                <w:t>2</w:t>
                              </w:r>
                            </w:p>
                          </w:txbxContent>
                        </wps:txbx>
                        <wps:bodyPr rot="0" vert="horz" wrap="square" lIns="73152" tIns="36576" rIns="73152" bIns="36576" anchor="t" anchorCtr="0" upright="1">
                          <a:noAutofit/>
                        </wps:bodyPr>
                      </wps:wsp>
                      <wps:wsp>
                        <wps:cNvPr id="83" name="Rectangle 65"/>
                        <wps:cNvSpPr>
                          <a:spLocks noChangeArrowheads="1"/>
                        </wps:cNvSpPr>
                        <wps:spPr bwMode="auto">
                          <a:xfrm>
                            <a:off x="2468880" y="1508760"/>
                            <a:ext cx="182880" cy="182880"/>
                          </a:xfrm>
                          <a:prstGeom prst="rect">
                            <a:avLst/>
                          </a:prstGeom>
                          <a:solidFill>
                            <a:srgbClr val="FFFFFF"/>
                          </a:solidFill>
                          <a:ln w="9525">
                            <a:solidFill>
                              <a:srgbClr val="000000"/>
                            </a:solidFill>
                            <a:miter lim="800000"/>
                            <a:headEnd/>
                            <a:tailEnd/>
                          </a:ln>
                        </wps:spPr>
                        <wps:txbx>
                          <w:txbxContent>
                            <w:p w14:paraId="0693BB49" w14:textId="77777777" w:rsidR="00105A84" w:rsidRPr="00D36E23" w:rsidRDefault="00105A84" w:rsidP="00E642CB">
                              <w:pPr>
                                <w:rPr>
                                  <w:sz w:val="13"/>
                                  <w:szCs w:val="16"/>
                                </w:rPr>
                              </w:pPr>
                              <w:r w:rsidRPr="00D36E23">
                                <w:rPr>
                                  <w:sz w:val="13"/>
                                  <w:szCs w:val="16"/>
                                </w:rPr>
                                <w:t>1</w:t>
                              </w:r>
                            </w:p>
                          </w:txbxContent>
                        </wps:txbx>
                        <wps:bodyPr rot="0" vert="horz" wrap="square" lIns="73152" tIns="36576" rIns="73152" bIns="36576" anchor="t" anchorCtr="0" upright="1">
                          <a:noAutofit/>
                        </wps:bodyPr>
                      </wps:wsp>
                      <wps:wsp>
                        <wps:cNvPr id="84" name="AutoShape 66"/>
                        <wps:cNvSpPr>
                          <a:spLocks noChangeArrowheads="1"/>
                        </wps:cNvSpPr>
                        <wps:spPr bwMode="auto">
                          <a:xfrm>
                            <a:off x="1188720" y="1417320"/>
                            <a:ext cx="274320" cy="1828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one de dessin 36" o:spid="_x0000_s1029"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36576;height:20574;visibility:visible;mso-wrap-style:square">
                  <v:fill o:detectmouseclick="t"/>
                  <v:path o:connecttype="none"/>
                </v:shape>
                <v:roundrect id="AutoShape 38" o:spid="_x0000_s1031" style="position:absolute;left:914;top:2286;width:8230;height:3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dDsMA&#10;AADbAAAADwAAAGRycy9kb3ducmV2LnhtbESPQWvCQBSE7wX/w/IEL0U32iomuooIghcrjeL5kX0m&#10;wezbmF1j+u/dQqHHYWa+YZbrzlSipcaVlhWMRxEI4szqknMF59NuOAfhPLLGyjIp+CEH61XvbYmJ&#10;tk/+pjb1uQgQdgkqKLyvEyldVpBBN7I1cfCutjHog2xyqRt8Brip5CSKZtJgyWGhwJq2BWW39GEU&#10;3Ok0iWNDl/w9PX61nx/eHeODUoN+t1mA8NT5//Bfe68VTGfw+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GdDsMAAADbAAAADwAAAAAAAAAAAAAAAACYAgAAZHJzL2Rv&#10;d25yZXYueG1sUEsFBgAAAAAEAAQA9QAAAIgDAAAAAA==&#10;">
                  <v:textbox inset="5.76pt,2.88pt,5.76pt,2.88pt">
                    <w:txbxContent>
                      <w:p w14:paraId="0693BB36" w14:textId="77777777" w:rsidR="00105A84" w:rsidRPr="00D36E23" w:rsidRDefault="00105A84" w:rsidP="00E642CB">
                        <w:pPr>
                          <w:rPr>
                            <w:sz w:val="16"/>
                          </w:rPr>
                        </w:pPr>
                        <w:r w:rsidRPr="00D36E23">
                          <w:rPr>
                            <w:sz w:val="16"/>
                          </w:rPr>
                          <w:t>Banque du tireur</w:t>
                        </w:r>
                      </w:p>
                      <w:p w14:paraId="0693BB37" w14:textId="77777777" w:rsidR="00105A84" w:rsidRPr="00D36E23" w:rsidRDefault="00105A84" w:rsidP="00E642CB">
                        <w:pPr>
                          <w:rPr>
                            <w:sz w:val="16"/>
                          </w:rPr>
                        </w:pPr>
                      </w:p>
                    </w:txbxContent>
                  </v:textbox>
                </v:roundrect>
                <v:roundrect id="AutoShape 39" o:spid="_x0000_s1032" style="position:absolute;left:914;top:15087;width:8230;height:3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4lcQA&#10;AADbAAAADwAAAGRycy9kb3ducmV2LnhtbESPQWvCQBSE74L/YXmCF6kbbW1NzEZKodBLFWPx/Mg+&#10;k2D2bZpdY/rvu4WCx2FmvmHS7WAa0VPnassKFvMIBHFhdc2lgq/j+8MahPPIGhvLpOCHHGyz8SjF&#10;RNsbH6jPfSkChF2CCirv20RKV1Rk0M1tSxy8s+0M+iC7UuoObwFuGrmMomdpsOawUGFLbxUVl/xq&#10;FHzTcRnHhk7lLN/v+qdH7/bxp1LTyfC6AeFp8Pfwf/tDK1i9wN+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OJXEAAAA2wAAAA8AAAAAAAAAAAAAAAAAmAIAAGRycy9k&#10;b3ducmV2LnhtbFBLBQYAAAAABAAEAPUAAACJAwAAAAA=&#10;">
                  <v:textbox inset="5.76pt,2.88pt,5.76pt,2.88pt">
                    <w:txbxContent>
                      <w:p w14:paraId="0693BB38" w14:textId="77777777" w:rsidR="00105A84" w:rsidRPr="00D36E23" w:rsidRDefault="00105A84" w:rsidP="00E642CB">
                        <w:pPr>
                          <w:rPr>
                            <w:sz w:val="16"/>
                          </w:rPr>
                        </w:pPr>
                        <w:r w:rsidRPr="00D36E23">
                          <w:rPr>
                            <w:sz w:val="16"/>
                          </w:rPr>
                          <w:t>Vendeur/</w:t>
                        </w:r>
                      </w:p>
                      <w:p w14:paraId="0693BB39" w14:textId="77777777" w:rsidR="00105A84" w:rsidRPr="00D36E23" w:rsidRDefault="00105A84" w:rsidP="00E642CB">
                        <w:pPr>
                          <w:rPr>
                            <w:sz w:val="16"/>
                          </w:rPr>
                        </w:pPr>
                        <w:r w:rsidRPr="00D36E23">
                          <w:rPr>
                            <w:sz w:val="16"/>
                          </w:rPr>
                          <w:t>tireur</w:t>
                        </w:r>
                      </w:p>
                    </w:txbxContent>
                  </v:textbox>
                </v:roundrect>
                <v:roundrect id="AutoShape 40" o:spid="_x0000_s1033" style="position:absolute;left:27432;top:2286;width:8229;height:3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s58EA&#10;AADbAAAADwAAAGRycy9kb3ducmV2LnhtbERPy2qDQBTdF/IPwy10U5oxT6J1DKFQyKaRmJL1xblV&#10;qXPHOFO1f99ZFLI8nHe6n0wrBupdY1nBYh6BIC6tbrhS8Hl5f9mBcB5ZY2uZFPySg302e0gx0Xbk&#10;Mw2Fr0QIYZeggtr7LpHSlTUZdHPbEQfuy/YGfYB9JXWPYwg3rVxG0VYabDg01NjRW03ld/FjFNzo&#10;soxjQ9fquchPw3rlXR5/KPX0OB1eQXia/F387z5qBZswNnw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rOfBAAAA2wAAAA8AAAAAAAAAAAAAAAAAmAIAAGRycy9kb3du&#10;cmV2LnhtbFBLBQYAAAAABAAEAPUAAACGAwAAAAA=&#10;">
                  <v:textbox inset="5.76pt,2.88pt,5.76pt,2.88pt">
                    <w:txbxContent>
                      <w:p w14:paraId="0693BB3A" w14:textId="77777777" w:rsidR="00105A84" w:rsidRPr="00D36E23" w:rsidRDefault="00105A84" w:rsidP="00E642CB">
                        <w:pPr>
                          <w:rPr>
                            <w:sz w:val="16"/>
                          </w:rPr>
                        </w:pPr>
                        <w:r w:rsidRPr="00D36E23">
                          <w:rPr>
                            <w:sz w:val="16"/>
                          </w:rPr>
                          <w:t>Banque du tiré</w:t>
                        </w:r>
                      </w:p>
                    </w:txbxContent>
                  </v:textbox>
                </v:roundrect>
                <v:roundrect id="AutoShape 41" o:spid="_x0000_s1034" style="position:absolute;left:27432;top:15087;width:8229;height:3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JfMQA&#10;AADbAAAADwAAAGRycy9kb3ducmV2LnhtbESPQWvCQBSE74L/YXmCF6kbrS1N6iaIUOilSpPS8yP7&#10;moRm38bsGtN/3xUEj8PMfMNss9G0YqDeNZYVrJYRCOLS6oYrBV/F28MLCOeRNbaWScEfOcjS6WSL&#10;ibYX/qQh95UIEHYJKqi97xIpXVmTQbe0HXHwfmxv0AfZV1L3eAlw08p1FD1Lgw2HhRo72tdU/uZn&#10;o+BExTqODX1Xi/x4GDaP3h3jD6Xms3H3CsLT6O/hW/tdK3iK4f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CXzEAAAA2wAAAA8AAAAAAAAAAAAAAAAAmAIAAGRycy9k&#10;b3ducmV2LnhtbFBLBQYAAAAABAAEAPUAAACJAwAAAAA=&#10;">
                  <v:textbox inset="5.76pt,2.88pt,5.76pt,2.88pt">
                    <w:txbxContent>
                      <w:p w14:paraId="0693BB3B" w14:textId="77777777" w:rsidR="00105A84" w:rsidRPr="00D36E23" w:rsidRDefault="00105A84" w:rsidP="00E642CB">
                        <w:pPr>
                          <w:rPr>
                            <w:sz w:val="16"/>
                          </w:rPr>
                        </w:pPr>
                        <w:r>
                          <w:rPr>
                            <w:sz w:val="16"/>
                          </w:rPr>
                          <w:t>Acheteur/ tiré</w:t>
                        </w:r>
                      </w:p>
                    </w:txbxContent>
                  </v:textbox>
                </v:roundrect>
                <v:line id="Line 42" o:spid="_x0000_s1035" style="position:absolute;visibility:visible;mso-wrap-style:square" from="9144,3200" to="2743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43" o:spid="_x0000_s1036" style="position:absolute;flip:y;visibility:visible;mso-wrap-style:square" from="2743,5943" to="2743,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44" o:spid="_x0000_s1037" style="position:absolute;visibility:visible;mso-wrap-style:square" from="6400,5943" to="6400,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45" o:spid="_x0000_s1038" style="position:absolute;flip:x;visibility:visible;mso-wrap-style:square" from="9144,5029" to="27432,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46" o:spid="_x0000_s1039" style="position:absolute;visibility:visible;mso-wrap-style:square" from="9144,16002"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47" o:spid="_x0000_s1040" style="position:absolute;flip:x;visibility:visible;mso-wrap-style:square" from="9144,17830" to="27432,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48" o:spid="_x0000_s1041" style="position:absolute;visibility:visible;mso-wrap-style:square" from="29260,5943" to="29260,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49" o:spid="_x0000_s1042" style="position:absolute;flip:y;visibility:visible;mso-wrap-style:square" from="32918,5943" to="32918,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shape id="Document" o:spid="_x0000_s1043" style="position:absolute;left:17373;top:457;width:1829;height:27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rMAA&#10;AADbAAAADwAAAGRycy9kb3ducmV2LnhtbERPy4rCMBTdD/gP4QqzG1Nd6FCNIoKMjCs7BbfX5tqH&#10;zU0niVr/3iwEl4fzXqx604obOV9bVjAeJSCIC6trLhXkf9uvbxA+IGtsLZOCB3lYLQcfC0y1vfOB&#10;blkoRQxhn6KCKoQuldIXFRn0I9sRR+5sncEQoSuldniP4aaVkySZSoM1x4YKO9pUVFyyq1HgHvmx&#10;WGeTg/s//Wxm+W/TzPaNUp/Dfj0HEagPb/HLvdMKp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rMAAAADbAAAADwAAAAAAAAAAAAAAAACYAgAAZHJzL2Rvd25y&#10;ZXYueG1sUEsFBgAAAAAEAAQA9QAAAIUDA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shape id="Document" o:spid="_x0000_s1044" style="position:absolute;left:27432;top:7772;width:1828;height:27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N8QA&#10;AADbAAAADwAAAGRycy9kb3ducmV2LnhtbESPT2sCMRTE7wW/Q3iCt5rVg9atUUQoFT25Lnh93bzu&#10;n25e1iTq+u1NodDjMDO/YZbr3rTiRs7XlhVMxgkI4sLqmksF+enj9Q2ED8gaW8uk4EEe1qvByxJT&#10;be98pFsWShEh7FNUUIXQpVL6oiKDfmw74uh9W2cwROlKqR3eI9y0cpokM2mw5rhQYUfbioqf7GoU&#10;uEd+LjbZ9OguX5/beb5vmvmhUWo07DfvIAL14T/8195pBbMF/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rTfEAAAA2wAAAA8AAAAAAAAAAAAAAAAAmAIAAGRycy9k&#10;b3ducmV2LnhtbFBLBQYAAAAABAAEAPUAAACJAw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shape id="Document" o:spid="_x0000_s1045" style="position:absolute;left:17373;top:13258;width:1829;height:274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0cQA&#10;AADbAAAADwAAAGRycy9kb3ducmV2LnhtbESPwWrCQBCG70LfYRmhN90oVkvqKq1YEMSD2oPHITtN&#10;FrOzIbs18e07B8Hj8M//zXzLde9rdaM2usAGJuMMFHERrOPSwM/5e/QOKiZki3VgMnCnCOvVy2CJ&#10;uQ0dH+l2SqUSCMccDVQpNbnWsajIYxyHhliy39B6TDK2pbYtdgL3tZ5m2Vx7dCwXKmxoU1FxPf15&#10;oTh3uc73X5dp2B7edt1sswjHuzGvw/7zA1SiPj2XH+2dNbCQ78VFP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rdHEAAAA2wAAAA8AAAAAAAAAAAAAAAAAmAIAAGRycy9k&#10;b3ducmV2LnhtbFBLBQYAAAAABAAEAPUAAACJAwAAAAA=&#10;" adj="-11796480,,5400" path="m10757,21632r-5570,l85,17509r,-6660l85,81r10672,l21706,81r,10571l21706,21632r-10949,xem85,17509r5102,l5187,21632,85,17509xe" fillcolor="#d8ebb3">
                  <v:stroke joinstyle="miter"/>
                  <v:shadow on="t" offset="6pt,6pt"/>
                  <v:formulas/>
                  <v:path o:connecttype="custom" o:connectlocs="91076,274726;720,137782;91076,1029;183777,135280;91076,274726;0,0;182880,0;182880,274320" o:connectangles="0,0,0,0,0,0,0,0" textboxrect="977,818,20622,16429"/>
                  <o:lock v:ext="edit" verticies="t"/>
                  <v:textbox inset="5.76pt,2.88pt,5.76pt,2.88pt">
                    <w:txbxContent>
                      <w:p w14:paraId="0693BB3C" w14:textId="77777777" w:rsidR="00105A84" w:rsidRPr="00D36E23" w:rsidRDefault="00105A84" w:rsidP="00E642CB">
                        <w:pPr>
                          <w:rPr>
                            <w:sz w:val="16"/>
                          </w:rPr>
                        </w:pPr>
                      </w:p>
                    </w:txbxContent>
                  </v:textbox>
                </v:shape>
                <v:shape id="Document" o:spid="_x0000_s1046" style="position:absolute;left:914;top:10515;width:1829;height:27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37MQA&#10;AADbAAAADwAAAGRycy9kb3ducmV2LnhtbESPT2sCMRTE74LfIbxCb5rVgytbo4ggLfbkuuD1uXnd&#10;P928bJNU12/fFASPw8z8hlltBtOJKznfWFYwmyYgiEurG64UFKf9ZAnCB2SNnWVScCcPm/V4tMJM&#10;2xsf6ZqHSkQI+wwV1CH0mZS+rMmgn9qeOHpf1hkMUbpKaoe3CDednCfJQhpsOC7U2NOupvI7/zUK&#10;3L04l9t8fnQ/l/ddWhzaNv1slXp9GbZvIAIN4Rl+tD+0gnQG/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N+zEAAAA2wAAAA8AAAAAAAAAAAAAAAAAmAIAAGRycy9k&#10;b3ducmV2LnhtbFBLBQYAAAAABAAEAPUAAACJAw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shape id="Document" o:spid="_x0000_s1047" style="position:absolute;left:21031;top:17830;width:1829;height:182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WPcMA&#10;AADbAAAADwAAAGRycy9kb3ducmV2LnhtbESPT4vCMBTE74LfITzBm6YWV6UaRcUFYdmDfw4eH82z&#10;DTYvpYm2fvvNwsIeh5n5DbPadLYSL2q8caxgMk5AEOdOGy4UXC+fowUIH5A1Vo5JwZs8bNb93goz&#10;7Vo+0escChEh7DNUUIZQZ1L6vCSLfuxq4ujdXWMxRNkUUjfYRritZJokM2nRcFwosaZ9Sfnj/LSR&#10;YsztMfva3VJ3+P44ttP93J3eSg0H3XYJIlAX/sN/7aNWME/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WPcMAAADbAAAADwAAAAAAAAAAAAAAAACYAgAAZHJzL2Rv&#10;d25yZXYueG1sUEsFBgAAAAAEAAQA9QAAAIgDAAAAAA==&#10;" adj="-11796480,,5400" path="m10757,21632r-5570,l85,17509r,-6660l85,81r10672,l21706,81r,10571l21706,21632r-10949,xem85,17509r5102,l5187,21632,85,17509xe" fillcolor="#d8ebb3">
                  <v:stroke joinstyle="miter"/>
                  <v:shadow on="t" offset="6pt,6pt"/>
                  <v:formulas/>
                  <v:path o:connecttype="custom" o:connectlocs="91076,183151;720,91855;91076,686;183777,90187;91076,183151;0,0;182880,0;182880,182880" o:connectangles="0,0,0,0,0,0,0,0" textboxrect="977,818,20622,16429"/>
                  <o:lock v:ext="edit" verticies="t"/>
                  <v:textbox inset="5.76pt,2.88pt,5.76pt,2.88pt">
                    <w:txbxContent>
                      <w:p w14:paraId="0693BB3D" w14:textId="77777777" w:rsidR="00105A84" w:rsidRPr="00D36E23" w:rsidRDefault="00105A84" w:rsidP="00E642CB">
                        <w:pPr>
                          <w:rPr>
                            <w:sz w:val="13"/>
                            <w:szCs w:val="16"/>
                          </w:rPr>
                        </w:pPr>
                        <w:r w:rsidRPr="00D36E23">
                          <w:rPr>
                            <w:sz w:val="13"/>
                            <w:szCs w:val="16"/>
                          </w:rPr>
                          <w:t>v</w:t>
                        </w:r>
                      </w:p>
                    </w:txbxContent>
                  </v:textbox>
                </v:shape>
                <v:oval id="Oval 55" o:spid="_x0000_s1048" style="position:absolute;left:4572;top:8686;width:2743;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czsQA&#10;AADbAAAADwAAAGRycy9kb3ducmV2LnhtbESPS2vDMBCE74X8B7GB3ho5KbTBsWxCIGAolNZ5nBdr&#10;/UislbFU2/33VaHQ4zAz3zBJNptOjDS41rKC9SoCQVxa3XKt4Hw6Pm1BOI+ssbNMCr7JQZYuHhKM&#10;tZ34k8bC1yJA2MWooPG+j6V0ZUMG3cr2xMGr7GDQBznUUg84Bbjp5CaKXqTBlsNCgz0dGirvxZdR&#10;UJy7a9lXLv9437xddHurCzpOSj0u5/0OhKfZ/4f/2rlW8Po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nM7EAAAA2wAAAA8AAAAAAAAAAAAAAAAAmAIAAGRycy9k&#10;b3ducmV2LnhtbFBLBQYAAAAABAAEAPUAAACJAwAAAAA=&#10;">
                  <v:textbox inset="5.76pt,2.88pt,5.76pt,2.88pt">
                    <w:txbxContent>
                      <w:p w14:paraId="0693BB3E" w14:textId="77777777" w:rsidR="00105A84" w:rsidRPr="00D36E23" w:rsidRDefault="00105A84" w:rsidP="00E642CB">
                        <w:pPr>
                          <w:rPr>
                            <w:sz w:val="16"/>
                          </w:rPr>
                        </w:pPr>
                        <w:r w:rsidRPr="00D36E23">
                          <w:rPr>
                            <w:sz w:val="16"/>
                          </w:rPr>
                          <w:t>$</w:t>
                        </w:r>
                      </w:p>
                    </w:txbxContent>
                  </v:textbox>
                </v:oval>
                <v:oval id="Oval 56" o:spid="_x0000_s1049" style="position:absolute;left:14630;top:4114;width:2743;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EusQA&#10;AADbAAAADwAAAGRycy9kb3ducmV2LnhtbESPS2vDMBCE74X8B7GB3ho5obTBsWxCIGAolNZ5nBdr&#10;/UislbFU2/33VaHQ4zAz3zBJNptOjDS41rKC9SoCQVxa3XKt4Hw6Pm1BOI+ssbNMCr7JQZYuHhKM&#10;tZ34k8bC1yJA2MWooPG+j6V0ZUMG3cr2xMGr7GDQBznUUg84Bbjp5CaKXqTBlsNCgz0dGirvxZdR&#10;UJy7a9lXLv9437xddHurCzpOSj0u5/0OhKfZ/4f/2rlW8Po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BLrEAAAA2wAAAA8AAAAAAAAAAAAAAAAAmAIAAGRycy9k&#10;b3ducmV2LnhtbFBLBQYAAAAABAAEAPUAAACJAwAAAAA=&#10;">
                  <v:textbox inset="5.76pt,2.88pt,5.76pt,2.88pt">
                    <w:txbxContent>
                      <w:p w14:paraId="0693BB3F" w14:textId="77777777" w:rsidR="00105A84" w:rsidRPr="00D36E23" w:rsidRDefault="00105A84" w:rsidP="00E642CB">
                        <w:pPr>
                          <w:rPr>
                            <w:sz w:val="16"/>
                          </w:rPr>
                        </w:pPr>
                        <w:r w:rsidRPr="00D36E23">
                          <w:rPr>
                            <w:sz w:val="16"/>
                          </w:rPr>
                          <w:t>$</w:t>
                        </w:r>
                      </w:p>
                    </w:txbxContent>
                  </v:textbox>
                </v:oval>
                <v:oval id="Oval 57" o:spid="_x0000_s1050" style="position:absolute;left:31089;top:10515;width:274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hIcQA&#10;AADbAAAADwAAAGRycy9kb3ducmV2LnhtbESPS2vDMBCE74X8B7GB3ho5gbbBsWxCIGAolNZ5nBdr&#10;/UislbFU2/33VaHQ4zAz3zBJNptOjDS41rKC9SoCQVxa3XKt4Hw6Pm1BOI+ssbNMCr7JQZYuHhKM&#10;tZ34k8bC1yJA2MWooPG+j6V0ZUMG3cr2xMGr7GDQBznUUg84Bbjp5CaKXqTBlsNCgz0dGirvxZdR&#10;UJy7a9lXLv9437xddHurCzpOSj0u5/0OhKfZ/4f/2rlW8Po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oSHEAAAA2wAAAA8AAAAAAAAAAAAAAAAAmAIAAGRycy9k&#10;b3ducmV2LnhtbFBLBQYAAAAABAAEAPUAAACJAwAAAAA=&#10;">
                  <v:textbox inset="5.76pt,2.88pt,5.76pt,2.88pt">
                    <w:txbxContent>
                      <w:p w14:paraId="0693BB40" w14:textId="77777777" w:rsidR="00105A84" w:rsidRPr="00D36E23" w:rsidRDefault="00105A84" w:rsidP="00E642CB">
                        <w:pPr>
                          <w:rPr>
                            <w:sz w:val="16"/>
                          </w:rPr>
                        </w:pPr>
                        <w:r w:rsidRPr="00D36E23">
                          <w:rPr>
                            <w:sz w:val="16"/>
                          </w:rPr>
                          <w:t>$</w:t>
                        </w:r>
                      </w:p>
                    </w:txbxContent>
                  </v:textbox>
                </v:oval>
                <v:rect id="Rectangle 58" o:spid="_x0000_s1051" style="position:absolute;left:5486;top:12344;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eRMYA&#10;AADbAAAADwAAAGRycy9kb3ducmV2LnhtbESPQWsCMRSE74X+h/AKXopmLaKyNYpoLdWDUPXg8bF5&#10;3Wy7eVk3UVd/vRGEHoeZ+YYZTRpbihPVvnCsoNtJQBBnThecK9htF+0hCB+QNZaOScGFPEzGz08j&#10;TLU78zedNiEXEcI+RQUmhCqV0meGLPqOq4ij9+NqiyHKOpe6xnOE21K+JUlfWiw4LhisaGYo+9sc&#10;rYLVPPTyz+ty//E7fF0eDuue18Yp1Xpppu8gAjXhP/xof2kFgz7cv8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eRMYAAADbAAAADwAAAAAAAAAAAAAAAACYAgAAZHJz&#10;L2Rvd25yZXYueG1sUEsFBgAAAAAEAAQA9QAAAIsDAAAAAA==&#10;">
                  <v:textbox inset="5.76pt,2.88pt,5.76pt,2.88pt">
                    <w:txbxContent>
                      <w:p w14:paraId="0693BB41" w14:textId="77777777" w:rsidR="00105A84" w:rsidRPr="00D36E23" w:rsidRDefault="00105A84" w:rsidP="00E642CB">
                        <w:pPr>
                          <w:rPr>
                            <w:sz w:val="13"/>
                          </w:rPr>
                        </w:pPr>
                        <w:r w:rsidRPr="00D36E23">
                          <w:rPr>
                            <w:sz w:val="13"/>
                          </w:rPr>
                          <w:t>4</w:t>
                        </w:r>
                      </w:p>
                    </w:txbxContent>
                  </v:textbox>
                </v:rect>
                <v:rect id="Rectangle 59" o:spid="_x0000_s1052" style="position:absolute;left:914;top:6858;width:182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738YA&#10;AADbAAAADwAAAGRycy9kb3ducmV2LnhtbESPT2sCMRTE70K/Q3iFXkSzLaKyNYrYP1QPQlcPHh+b&#10;1822m5d1E3X10xtB6HGYmd8wk1lrK3GkxpeOFTz3ExDEudMlFwq2m4/eGIQPyBorx6TgTB5m04fO&#10;BFPtTvxNxywUIkLYp6jAhFCnUvrckEXfdzVx9H5cYzFE2RRSN3iKcFvJlyQZSoslxwWDNS0M5X/Z&#10;wSpYvYVB8XlZ7t5/x93lfr8eeG2cUk+P7fwVRKA2/Ifv7S+tYDSC2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738YAAADbAAAADwAAAAAAAAAAAAAAAACYAgAAZHJz&#10;L2Rvd25yZXYueG1sUEsFBgAAAAAEAAQA9QAAAIsDAAAAAA==&#10;">
                  <v:textbox inset="5.76pt,2.88pt,5.76pt,2.88pt">
                    <w:txbxContent>
                      <w:p w14:paraId="0693BB42" w14:textId="77777777" w:rsidR="00105A84" w:rsidRPr="00D36E23" w:rsidRDefault="00105A84" w:rsidP="00E642CB">
                        <w:pPr>
                          <w:rPr>
                            <w:sz w:val="13"/>
                          </w:rPr>
                        </w:pPr>
                        <w:r w:rsidRPr="00D36E23">
                          <w:rPr>
                            <w:sz w:val="13"/>
                          </w:rPr>
                          <w:t>3</w:t>
                        </w:r>
                      </w:p>
                      <w:p w14:paraId="0693BB43" w14:textId="77777777" w:rsidR="00105A84" w:rsidRPr="00D36E23" w:rsidRDefault="00105A84" w:rsidP="00E642CB">
                        <w:pPr>
                          <w:rPr>
                            <w:sz w:val="16"/>
                          </w:rPr>
                        </w:pPr>
                      </w:p>
                    </w:txbxContent>
                  </v:textbox>
                </v:rect>
                <v:rect id="Rectangle 60" o:spid="_x0000_s1053" style="position:absolute;left:24688;top:2286;width:182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vrcMA&#10;AADbAAAADwAAAGRycy9kb3ducmV2LnhtbERPy2oCMRTdF/yHcAU3RTMVsTIaRaqW6qLgY+HyMrlO&#10;Ric34yTq1K9vFoUuD+c9mTW2FHeqfeFYwVsvAUGcOV1wruCwX3VHIHxA1lg6JgU/5GE2bb1MMNXu&#10;wVu670IuYgj7FBWYEKpUSp8Zsuh7riKO3MnVFkOEdS51jY8YbkvZT5KhtFhwbDBY0Yeh7LK7WQWb&#10;RRjkn8/1cXkeva6v1++B18Yp1Wk38zGIQE34F/+5v7SC9zg2fok/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vrcMAAADbAAAADwAAAAAAAAAAAAAAAACYAgAAZHJzL2Rv&#10;d25yZXYueG1sUEsFBgAAAAAEAAQA9QAAAIgDAAAAAA==&#10;">
                  <v:textbox inset="5.76pt,2.88pt,5.76pt,2.88pt">
                    <w:txbxContent>
                      <w:p w14:paraId="0693BB44" w14:textId="77777777" w:rsidR="00105A84" w:rsidRPr="00D36E23" w:rsidRDefault="00105A84" w:rsidP="00E642CB">
                        <w:pPr>
                          <w:rPr>
                            <w:sz w:val="13"/>
                            <w:szCs w:val="16"/>
                          </w:rPr>
                        </w:pPr>
                        <w:r w:rsidRPr="00D36E23">
                          <w:rPr>
                            <w:sz w:val="13"/>
                            <w:szCs w:val="16"/>
                          </w:rPr>
                          <w:t>5</w:t>
                        </w:r>
                      </w:p>
                    </w:txbxContent>
                  </v:textbox>
                </v:rect>
                <v:rect id="Rectangle 61" o:spid="_x0000_s1054" style="position:absolute;left:10058;top:4114;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KNsYA&#10;AADbAAAADwAAAGRycy9kb3ducmV2LnhtbESPQWsCMRSE74X+h/CEXkSzFml1NUqxVbSHQtWDx8fm&#10;udl287Juoq7+elMQehxm5htmPG1sKU5U+8Kxgl43AUGcOV1wrmC7mXcGIHxA1lg6JgUX8jCdPD6M&#10;MdXuzN90WodcRAj7FBWYEKpUSp8Zsui7riKO3t7VFkOUdS51jecIt6V8TpIXabHguGCwopmh7Hd9&#10;tAo+30M/X1xXu4+fQXt1OHz1vTZOqadW8zYCEagJ/+F7e6kVvA7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rKNsYAAADbAAAADwAAAAAAAAAAAAAAAACYAgAAZHJz&#10;L2Rvd25yZXYueG1sUEsFBgAAAAAEAAQA9QAAAIsDAAAAAA==&#10;">
                  <v:textbox inset="5.76pt,2.88pt,5.76pt,2.88pt">
                    <w:txbxContent>
                      <w:p w14:paraId="0693BB45" w14:textId="77777777" w:rsidR="00105A84" w:rsidRPr="00D36E23" w:rsidRDefault="00105A84" w:rsidP="00E642CB">
                        <w:pPr>
                          <w:rPr>
                            <w:sz w:val="13"/>
                            <w:szCs w:val="16"/>
                          </w:rPr>
                        </w:pPr>
                        <w:r w:rsidRPr="00D36E23">
                          <w:rPr>
                            <w:sz w:val="13"/>
                            <w:szCs w:val="16"/>
                          </w:rPr>
                          <w:t>6</w:t>
                        </w:r>
                      </w:p>
                    </w:txbxContent>
                  </v:textbox>
                </v:rect>
                <v:rect id="Rectangle 62" o:spid="_x0000_s1055" style="position:absolute;left:28346;top:12344;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TjMMA&#10;AADbAAAADwAAAGRycy9kb3ducmV2LnhtbERPz2vCMBS+C/4P4Qm7yEwnIqVrKqJzzB0G6g47Pppn&#10;U21eapNpt79+OQg7fny/80VvG3GlzteOFTxNEhDEpdM1Vwo+D5vHFIQPyBobx6TghzwsiuEgx0y7&#10;G+/oug+ViCHsM1RgQmgzKX1pyKKfuJY4ckfXWQwRdpXUHd5iuG3kNEnm0mLNscFgSytD5Xn/bRW8&#10;r8Osev3dfr2c0vH2cvmYeW2cUg+jfvkMIlAf/sV395tWkMb18U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TjMMAAADbAAAADwAAAAAAAAAAAAAAAACYAgAAZHJzL2Rv&#10;d25yZXYueG1sUEsFBgAAAAAEAAQA9QAAAIgDAAAAAA==&#10;">
                  <v:textbox inset="5.76pt,2.88pt,5.76pt,2.88pt">
                    <w:txbxContent>
                      <w:p w14:paraId="0693BB46" w14:textId="77777777" w:rsidR="00105A84" w:rsidRPr="00D36E23" w:rsidRDefault="00105A84" w:rsidP="00E642CB">
                        <w:pPr>
                          <w:rPr>
                            <w:sz w:val="13"/>
                            <w:szCs w:val="16"/>
                          </w:rPr>
                        </w:pPr>
                        <w:r w:rsidRPr="00D36E23">
                          <w:rPr>
                            <w:sz w:val="13"/>
                            <w:szCs w:val="16"/>
                          </w:rPr>
                          <w:t>5</w:t>
                        </w:r>
                      </w:p>
                    </w:txbxContent>
                  </v:textbox>
                </v:rect>
                <v:rect id="Rectangle 63" o:spid="_x0000_s1056" style="position:absolute;left:32004;top:6858;width:1828;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2F8YA&#10;AADbAAAADwAAAGRycy9kb3ducmV2LnhtbESPT2vCQBTE70K/w/IKXkQ3ipQQXUX6R9RDoakHj4/s&#10;azY1+zZmV4399F2h0OMwM79h5svO1uJCra8cKxiPEhDEhdMVlwr2n2/DFIQPyBprx6TgRh6Wi4fe&#10;HDPtrvxBlzyUIkLYZ6jAhNBkUvrCkEU/cg1x9L5cazFE2ZZSt3iNcFvLSZI8SYsVxwWDDT0bKo75&#10;2SrYvYRpuf7ZHl6/08H2dHqfem2cUv3HbjUDEagL/+G/9kYrSMdw/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m2F8YAAADbAAAADwAAAAAAAAAAAAAAAACYAgAAZHJz&#10;L2Rvd25yZXYueG1sUEsFBgAAAAAEAAQA9QAAAIsDAAAAAA==&#10;">
                  <v:textbox inset="5.76pt,2.88pt,5.76pt,2.88pt">
                    <w:txbxContent>
                      <w:p w14:paraId="0693BB47" w14:textId="77777777" w:rsidR="00105A84" w:rsidRPr="00D36E23" w:rsidRDefault="00105A84" w:rsidP="00E642CB">
                        <w:pPr>
                          <w:rPr>
                            <w:sz w:val="13"/>
                            <w:szCs w:val="16"/>
                          </w:rPr>
                        </w:pPr>
                        <w:r w:rsidRPr="00D36E23">
                          <w:rPr>
                            <w:sz w:val="13"/>
                            <w:szCs w:val="16"/>
                          </w:rPr>
                          <w:t>6</w:t>
                        </w:r>
                      </w:p>
                    </w:txbxContent>
                  </v:textbox>
                </v:rect>
                <v:rect id="Rectangle 64" o:spid="_x0000_s1057" style="position:absolute;left:10058;top:16916;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oYMYA&#10;AADbAAAADwAAAGRycy9kb3ducmV2LnhtbESPT2sCMRTE74V+h/AKXopmFZFlNUppVWoPgn8OHh+b&#10;1822m5d1E3XrpzcFweMwM79hJrPWVuJMjS8dK+j3EhDEudMlFwr2u0U3BeEDssbKMSn4Iw+z6fPT&#10;BDPtLryh8zYUIkLYZ6jAhFBnUvrckEXfczVx9L5dYzFE2RRSN3iJcFvJQZKMpMWS44LBmt4N5b/b&#10;k1Xw9RGGxfK6Osx/0tfV8bgeem2cUp2X9m0MIlAbHuF7+1MrSAfw/yX+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soYMYAAADbAAAADwAAAAAAAAAAAAAAAACYAgAAZHJz&#10;L2Rvd25yZXYueG1sUEsFBgAAAAAEAAQA9QAAAIsDAAAAAA==&#10;">
                  <v:textbox inset="5.76pt,2.88pt,5.76pt,2.88pt">
                    <w:txbxContent>
                      <w:p w14:paraId="0693BB48" w14:textId="77777777" w:rsidR="00105A84" w:rsidRPr="00D36E23" w:rsidRDefault="00105A84" w:rsidP="00E642CB">
                        <w:pPr>
                          <w:rPr>
                            <w:sz w:val="13"/>
                          </w:rPr>
                        </w:pPr>
                        <w:r w:rsidRPr="00D36E23">
                          <w:rPr>
                            <w:sz w:val="13"/>
                          </w:rPr>
                          <w:t>2</w:t>
                        </w:r>
                      </w:p>
                    </w:txbxContent>
                  </v:textbox>
                </v:rect>
                <v:rect id="Rectangle 65" o:spid="_x0000_s1058" style="position:absolute;left:24688;top:15087;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N+8YA&#10;AADbAAAADwAAAGRycy9kb3ducmV2LnhtbESPQWsCMRSE74L/ITzBi9SsVmTZGqXYWmoPhaqHHh+b&#10;52bt5mXdRN3665uC4HGYmW+Y2aK1lThT40vHCkbDBARx7nTJhYLddvWQgvABWWPlmBT8kofFvNuZ&#10;Yabdhb/ovAmFiBD2GSowIdSZlD43ZNEPXU0cvb1rLIYom0LqBi8Rbis5TpKptFhyXDBY09JQ/rM5&#10;WQUfL2FSvF3X36+HdLA+Hj8nXhunVL/XPj+BCNSGe/jWftcK0k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N+8YAAADbAAAADwAAAAAAAAAAAAAAAACYAgAAZHJz&#10;L2Rvd25yZXYueG1sUEsFBgAAAAAEAAQA9QAAAIsDAAAAAA==&#10;">
                  <v:textbox inset="5.76pt,2.88pt,5.76pt,2.88pt">
                    <w:txbxContent>
                      <w:p w14:paraId="0693BB49" w14:textId="77777777" w:rsidR="00105A84" w:rsidRPr="00D36E23" w:rsidRDefault="00105A84" w:rsidP="00E642CB">
                        <w:pPr>
                          <w:rPr>
                            <w:sz w:val="13"/>
                            <w:szCs w:val="16"/>
                          </w:rPr>
                        </w:pPr>
                        <w:r w:rsidRPr="00D36E23">
                          <w:rPr>
                            <w:sz w:val="13"/>
                            <w:szCs w:val="16"/>
                          </w:rPr>
                          <w:t>1</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6" o:spid="_x0000_s1059" type="#_x0000_t16" style="position:absolute;left:11887;top:14173;width:274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yeMMA&#10;AADbAAAADwAAAGRycy9kb3ducmV2LnhtbESP0WoCMRRE3wv+Q7iCbzVrEdHVKKIs1JfSqh9w2Vw3&#10;q5ubJcnq2q9vCoU+DjNzhlltetuIO/lQO1YwGWcgiEuna64UnE/F6xxEiMgaG8ek4EkBNuvBywpz&#10;7R78RfdjrESCcMhRgYmxzaUMpSGLYexa4uRdnLcYk/SV1B4fCW4b+ZZlM2mx5rRgsKWdofJ27KyC&#10;z++PfrFdtHt3uBZYeNPNXOiUGg377RJEpD7+h//a71rBfA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PyeMMAAADbAAAADwAAAAAAAAAAAAAAAACYAgAAZHJzL2Rv&#10;d25yZXYueG1sUEsFBgAAAAAEAAQA9QAAAIgDAAAAAA==&#10;"/>
                <w10:anchorlock/>
              </v:group>
            </w:pict>
          </mc:Fallback>
        </mc:AlternateContent>
      </w:r>
    </w:p>
    <w:p w14:paraId="0693B57E"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Le client vend un lot de marchandises payables à terme. Dans ce cadre, il tire une lettre de change sur son débiteur (acheteur) et lui demande de l’accepter. Cette lettre de change matérialise la créance commerciale.</w:t>
      </w:r>
    </w:p>
    <w:p w14:paraId="0693B57F"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Le tiré accepte.</w:t>
      </w:r>
    </w:p>
    <w:p w14:paraId="0693B580"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La lettre de change est représentée à la banque du tireur pour escompte. Si la banque accepte, la propriété de la lettre de change lui est transférée  par endossement.</w:t>
      </w:r>
    </w:p>
    <w:p w14:paraId="0693B581"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 xml:space="preserve">La banque verse la valeur au comptant de la lettre de change (c’est-à-dire la </w:t>
      </w:r>
      <w:r w:rsidRPr="00E642CB">
        <w:rPr>
          <w:rStyle w:val="titleniv11"/>
          <w:bCs w:val="0"/>
          <w:color w:val="auto"/>
          <w:sz w:val="20"/>
          <w:szCs w:val="20"/>
        </w:rPr>
        <w:t>valeur nominale diminuée d’une bonification d’intérêts</w:t>
      </w:r>
      <w:r w:rsidRPr="00E642CB">
        <w:rPr>
          <w:rStyle w:val="titleniv11"/>
          <w:b w:val="0"/>
          <w:bCs w:val="0"/>
          <w:color w:val="auto"/>
          <w:sz w:val="20"/>
          <w:szCs w:val="20"/>
        </w:rPr>
        <w:t xml:space="preserve"> restant à courir jusqu’à l’échéance, et une commission (agios) sur le compte de son client (le tireur).</w:t>
      </w:r>
    </w:p>
    <w:p w14:paraId="0693B582"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A l’échéance, la banque du tireur présente la lettre de change au tiré (par l’intermédiaire de la banque de celui-ci.</w:t>
      </w:r>
    </w:p>
    <w:p w14:paraId="0693B583" w14:textId="77777777" w:rsidR="00E642CB" w:rsidRPr="00E642CB" w:rsidRDefault="00E642CB" w:rsidP="0086187F">
      <w:pPr>
        <w:numPr>
          <w:ilvl w:val="0"/>
          <w:numId w:val="28"/>
        </w:numPr>
        <w:ind w:left="721"/>
        <w:jc w:val="both"/>
        <w:rPr>
          <w:rStyle w:val="titleniv11"/>
          <w:b w:val="0"/>
          <w:bCs w:val="0"/>
          <w:color w:val="auto"/>
          <w:sz w:val="20"/>
          <w:szCs w:val="20"/>
        </w:rPr>
      </w:pPr>
      <w:r w:rsidRPr="00E642CB">
        <w:rPr>
          <w:rStyle w:val="titleniv11"/>
          <w:b w:val="0"/>
          <w:bCs w:val="0"/>
          <w:color w:val="auto"/>
          <w:sz w:val="20"/>
          <w:szCs w:val="20"/>
        </w:rPr>
        <w:t>A l’échéance le tiré paie (via sa banque) la valeur nominale de la traite à la banque du tireur.</w:t>
      </w:r>
    </w:p>
    <w:p w14:paraId="0693B584" w14:textId="77777777" w:rsidR="00E642CB" w:rsidRPr="0056383D" w:rsidRDefault="00E642CB" w:rsidP="00D3604D">
      <w:pPr>
        <w:ind w:left="1" w:right="16"/>
        <w:jc w:val="both"/>
        <w:rPr>
          <w:b/>
          <w:i/>
          <w:snapToGrid w:val="0"/>
          <w:color w:val="000000"/>
        </w:rPr>
      </w:pPr>
    </w:p>
    <w:p w14:paraId="0693B585" w14:textId="77777777" w:rsidR="00E642CB" w:rsidRPr="00D3604D" w:rsidRDefault="00E642CB" w:rsidP="00D3604D">
      <w:pPr>
        <w:spacing w:before="480"/>
        <w:rPr>
          <w:b/>
          <w:snapToGrid w:val="0"/>
          <w:sz w:val="24"/>
        </w:rPr>
      </w:pPr>
      <w:bookmarkStart w:id="225" w:name="_Toc189380921"/>
      <w:r w:rsidRPr="00D3604D">
        <w:rPr>
          <w:b/>
          <w:snapToGrid w:val="0"/>
          <w:sz w:val="24"/>
        </w:rPr>
        <w:t>Escompte fournisseur</w:t>
      </w:r>
      <w:r w:rsidR="0041495B" w:rsidRPr="00D3604D">
        <w:rPr>
          <w:b/>
          <w:snapToGrid w:val="0"/>
          <w:sz w:val="24"/>
        </w:rPr>
        <w:fldChar w:fldCharType="begin"/>
      </w:r>
      <w:r w:rsidRPr="00D3604D">
        <w:rPr>
          <w:b/>
          <w:snapToGrid w:val="0"/>
          <w:sz w:val="24"/>
        </w:rPr>
        <w:instrText xml:space="preserve"> XE "Escompte fournisseur" </w:instrText>
      </w:r>
      <w:r w:rsidR="0041495B" w:rsidRPr="00D3604D">
        <w:rPr>
          <w:b/>
          <w:snapToGrid w:val="0"/>
          <w:sz w:val="24"/>
        </w:rPr>
        <w:fldChar w:fldCharType="end"/>
      </w:r>
      <w:r w:rsidRPr="00D3604D">
        <w:rPr>
          <w:b/>
          <w:snapToGrid w:val="0"/>
          <w:sz w:val="24"/>
        </w:rPr>
        <w:t xml:space="preserve"> (= mobilisation des achats)</w:t>
      </w:r>
      <w:bookmarkEnd w:id="225"/>
    </w:p>
    <w:p w14:paraId="0693B586" w14:textId="77777777" w:rsidR="00E642CB" w:rsidRPr="0056383D" w:rsidRDefault="00E642CB" w:rsidP="00D3604D">
      <w:pPr>
        <w:spacing w:before="240"/>
        <w:ind w:left="1" w:right="16"/>
        <w:jc w:val="both"/>
        <w:rPr>
          <w:i/>
          <w:snapToGrid w:val="0"/>
          <w:color w:val="000000"/>
        </w:rPr>
      </w:pPr>
      <w:r w:rsidRPr="0056383D">
        <w:rPr>
          <w:i/>
          <w:snapToGrid w:val="0"/>
          <w:color w:val="000000"/>
        </w:rPr>
        <w:t>“ La banque accepte d’escompter des effets tirés sur son client et qui lui seront présentés par les fournisseurs de celui-ci. Il s’agit dans ce cas de traites fournisseurs. Le banquier verse le montant nominal des traites (celui qui y est mentionné) au fournisseur et débite le compte de son client (le tiré), des intérêts et commissions. A l’échéance, le compte du client sera débité par la banque du montant nominal des traites. C’est donc la banque de l’acheteur qui accorde le crédit, les frais et agios étant à charge de ce dernier. ”</w:t>
      </w:r>
    </w:p>
    <w:p w14:paraId="0693B587" w14:textId="77777777" w:rsidR="00E642CB" w:rsidRPr="0056383D" w:rsidRDefault="00E642CB" w:rsidP="00D3604D">
      <w:pPr>
        <w:spacing w:before="240"/>
        <w:ind w:left="1" w:right="16"/>
        <w:jc w:val="both"/>
        <w:rPr>
          <w:snapToGrid w:val="0"/>
          <w:color w:val="000000"/>
        </w:rPr>
      </w:pPr>
      <w:r w:rsidRPr="0056383D">
        <w:rPr>
          <w:snapToGrid w:val="0"/>
          <w:color w:val="000000"/>
        </w:rPr>
        <w:t>Schématiquement :</w:t>
      </w:r>
    </w:p>
    <w:p w14:paraId="0693B588" w14:textId="77777777" w:rsidR="00E642CB" w:rsidRPr="000C23F1" w:rsidRDefault="00FB0892" w:rsidP="00D3604D">
      <w:pPr>
        <w:ind w:left="1"/>
      </w:pPr>
      <w:r>
        <w:rPr>
          <w:noProof/>
          <w:lang w:eastAsia="fr-BE"/>
        </w:rPr>
        <w:lastRenderedPageBreak/>
        <mc:AlternateContent>
          <mc:Choice Requires="wpc">
            <w:drawing>
              <wp:inline distT="0" distB="0" distL="0" distR="0" wp14:anchorId="0693BAE0" wp14:editId="0693BAE1">
                <wp:extent cx="3657600" cy="2057400"/>
                <wp:effectExtent l="0" t="0" r="0" b="0"/>
                <wp:docPr id="55"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AutoShape 8"/>
                        <wps:cNvSpPr>
                          <a:spLocks noChangeArrowheads="1"/>
                        </wps:cNvSpPr>
                        <wps:spPr bwMode="auto">
                          <a:xfrm>
                            <a:off x="91440" y="114300"/>
                            <a:ext cx="822960" cy="365760"/>
                          </a:xfrm>
                          <a:prstGeom prst="roundRect">
                            <a:avLst>
                              <a:gd name="adj" fmla="val 16667"/>
                            </a:avLst>
                          </a:prstGeom>
                          <a:solidFill>
                            <a:srgbClr val="FFFFFF"/>
                          </a:solidFill>
                          <a:ln w="9525">
                            <a:solidFill>
                              <a:srgbClr val="000000"/>
                            </a:solidFill>
                            <a:round/>
                            <a:headEnd/>
                            <a:tailEnd/>
                          </a:ln>
                        </wps:spPr>
                        <wps:txbx>
                          <w:txbxContent>
                            <w:p w14:paraId="0693BB4A" w14:textId="77777777" w:rsidR="00105A84" w:rsidRPr="00627E2E" w:rsidRDefault="00105A84" w:rsidP="00E642CB">
                              <w:pPr>
                                <w:rPr>
                                  <w:sz w:val="16"/>
                                </w:rPr>
                              </w:pPr>
                              <w:r w:rsidRPr="00627E2E">
                                <w:rPr>
                                  <w:sz w:val="16"/>
                                </w:rPr>
                                <w:t>Banque du tireur</w:t>
                              </w:r>
                            </w:p>
                          </w:txbxContent>
                        </wps:txbx>
                        <wps:bodyPr rot="0" vert="horz" wrap="square" lIns="73152" tIns="36576" rIns="73152" bIns="36576" anchor="t" anchorCtr="0" upright="1">
                          <a:noAutofit/>
                        </wps:bodyPr>
                      </wps:wsp>
                      <wps:wsp>
                        <wps:cNvPr id="28" name="AutoShape 9"/>
                        <wps:cNvSpPr>
                          <a:spLocks noChangeArrowheads="1"/>
                        </wps:cNvSpPr>
                        <wps:spPr bwMode="auto">
                          <a:xfrm>
                            <a:off x="91440" y="1394460"/>
                            <a:ext cx="822960" cy="365760"/>
                          </a:xfrm>
                          <a:prstGeom prst="roundRect">
                            <a:avLst>
                              <a:gd name="adj" fmla="val 16667"/>
                            </a:avLst>
                          </a:prstGeom>
                          <a:solidFill>
                            <a:srgbClr val="FFFFFF"/>
                          </a:solidFill>
                          <a:ln w="9525">
                            <a:solidFill>
                              <a:srgbClr val="000000"/>
                            </a:solidFill>
                            <a:round/>
                            <a:headEnd/>
                            <a:tailEnd/>
                          </a:ln>
                        </wps:spPr>
                        <wps:txbx>
                          <w:txbxContent>
                            <w:p w14:paraId="0693BB4B" w14:textId="77777777" w:rsidR="00105A84" w:rsidRPr="00627E2E" w:rsidRDefault="00105A84" w:rsidP="00E642CB">
                              <w:pPr>
                                <w:rPr>
                                  <w:sz w:val="16"/>
                                </w:rPr>
                              </w:pPr>
                              <w:r w:rsidRPr="00627E2E">
                                <w:rPr>
                                  <w:sz w:val="16"/>
                                </w:rPr>
                                <w:t>Vendeur/</w:t>
                              </w:r>
                            </w:p>
                            <w:p w14:paraId="0693BB4C" w14:textId="77777777" w:rsidR="00105A84" w:rsidRPr="00627E2E" w:rsidRDefault="00105A84" w:rsidP="00E642CB">
                              <w:pPr>
                                <w:rPr>
                                  <w:sz w:val="16"/>
                                </w:rPr>
                              </w:pPr>
                              <w:r w:rsidRPr="00627E2E">
                                <w:rPr>
                                  <w:sz w:val="16"/>
                                </w:rPr>
                                <w:t>tireur</w:t>
                              </w:r>
                            </w:p>
                          </w:txbxContent>
                        </wps:txbx>
                        <wps:bodyPr rot="0" vert="horz" wrap="square" lIns="73152" tIns="36576" rIns="73152" bIns="36576" anchor="t" anchorCtr="0" upright="1">
                          <a:noAutofit/>
                        </wps:bodyPr>
                      </wps:wsp>
                      <wps:wsp>
                        <wps:cNvPr id="29" name="AutoShape 10"/>
                        <wps:cNvSpPr>
                          <a:spLocks noChangeArrowheads="1"/>
                        </wps:cNvSpPr>
                        <wps:spPr bwMode="auto">
                          <a:xfrm>
                            <a:off x="2743200" y="114300"/>
                            <a:ext cx="822960" cy="365760"/>
                          </a:xfrm>
                          <a:prstGeom prst="roundRect">
                            <a:avLst>
                              <a:gd name="adj" fmla="val 16667"/>
                            </a:avLst>
                          </a:prstGeom>
                          <a:solidFill>
                            <a:srgbClr val="FFFFFF"/>
                          </a:solidFill>
                          <a:ln w="9525">
                            <a:solidFill>
                              <a:srgbClr val="000000"/>
                            </a:solidFill>
                            <a:round/>
                            <a:headEnd/>
                            <a:tailEnd/>
                          </a:ln>
                        </wps:spPr>
                        <wps:txbx>
                          <w:txbxContent>
                            <w:p w14:paraId="0693BB4D" w14:textId="77777777" w:rsidR="00105A84" w:rsidRPr="00627E2E" w:rsidRDefault="00105A84" w:rsidP="00E642CB">
                              <w:pPr>
                                <w:rPr>
                                  <w:sz w:val="16"/>
                                </w:rPr>
                              </w:pPr>
                              <w:r w:rsidRPr="00627E2E">
                                <w:rPr>
                                  <w:sz w:val="16"/>
                                </w:rPr>
                                <w:t>Banque du tiré</w:t>
                              </w:r>
                            </w:p>
                          </w:txbxContent>
                        </wps:txbx>
                        <wps:bodyPr rot="0" vert="horz" wrap="square" lIns="73152" tIns="36576" rIns="73152" bIns="36576" anchor="t" anchorCtr="0" upright="1">
                          <a:noAutofit/>
                        </wps:bodyPr>
                      </wps:wsp>
                      <wps:wsp>
                        <wps:cNvPr id="30" name="AutoShape 11"/>
                        <wps:cNvSpPr>
                          <a:spLocks noChangeArrowheads="1"/>
                        </wps:cNvSpPr>
                        <wps:spPr bwMode="auto">
                          <a:xfrm>
                            <a:off x="2743200" y="1394460"/>
                            <a:ext cx="822960" cy="365760"/>
                          </a:xfrm>
                          <a:prstGeom prst="roundRect">
                            <a:avLst>
                              <a:gd name="adj" fmla="val 16667"/>
                            </a:avLst>
                          </a:prstGeom>
                          <a:solidFill>
                            <a:srgbClr val="FFFFFF"/>
                          </a:solidFill>
                          <a:ln w="9525">
                            <a:solidFill>
                              <a:srgbClr val="000000"/>
                            </a:solidFill>
                            <a:round/>
                            <a:headEnd/>
                            <a:tailEnd/>
                          </a:ln>
                        </wps:spPr>
                        <wps:txbx>
                          <w:txbxContent>
                            <w:p w14:paraId="0693BB4E" w14:textId="77777777" w:rsidR="00105A84" w:rsidRPr="00627E2E" w:rsidRDefault="00105A84" w:rsidP="00E642CB">
                              <w:pPr>
                                <w:rPr>
                                  <w:sz w:val="16"/>
                                </w:rPr>
                              </w:pPr>
                              <w:r>
                                <w:rPr>
                                  <w:sz w:val="16"/>
                                </w:rPr>
                                <w:t>Acheteur/ tiré</w:t>
                              </w:r>
                            </w:p>
                          </w:txbxContent>
                        </wps:txbx>
                        <wps:bodyPr rot="0" vert="horz" wrap="square" lIns="73152" tIns="36576" rIns="73152" bIns="36576" anchor="t" anchorCtr="0" upright="1">
                          <a:noAutofit/>
                        </wps:bodyPr>
                      </wps:wsp>
                      <wps:wsp>
                        <wps:cNvPr id="31" name="Line 12"/>
                        <wps:cNvCnPr/>
                        <wps:spPr bwMode="auto">
                          <a:xfrm flipV="1">
                            <a:off x="274320" y="4800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3"/>
                        <wps:cNvCnPr/>
                        <wps:spPr bwMode="auto">
                          <a:xfrm>
                            <a:off x="640080" y="4800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4"/>
                        <wps:cNvCnPr/>
                        <wps:spPr bwMode="auto">
                          <a:xfrm flipH="1">
                            <a:off x="914400" y="38862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
                        <wps:cNvCnPr/>
                        <wps:spPr bwMode="auto">
                          <a:xfrm>
                            <a:off x="914400" y="148590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6"/>
                        <wps:cNvCnPr/>
                        <wps:spPr bwMode="auto">
                          <a:xfrm flipH="1">
                            <a:off x="914400" y="166878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7"/>
                        <wps:cNvCnPr/>
                        <wps:spPr bwMode="auto">
                          <a:xfrm flipV="1">
                            <a:off x="3291840" y="4800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Document"/>
                        <wps:cNvSpPr>
                          <a:spLocks noEditPoints="1" noChangeArrowheads="1"/>
                        </wps:cNvSpPr>
                        <wps:spPr bwMode="auto">
                          <a:xfrm>
                            <a:off x="2743200" y="102870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8" name="Document"/>
                        <wps:cNvSpPr>
                          <a:spLocks noEditPoints="1" noChangeArrowheads="1"/>
                        </wps:cNvSpPr>
                        <wps:spPr bwMode="auto">
                          <a:xfrm>
                            <a:off x="1920240" y="121158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9" name="Line 20"/>
                        <wps:cNvCnPr/>
                        <wps:spPr bwMode="auto">
                          <a:xfrm flipV="1">
                            <a:off x="3108960" y="48006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Document"/>
                        <wps:cNvSpPr>
                          <a:spLocks noEditPoints="1" noChangeArrowheads="1"/>
                        </wps:cNvSpPr>
                        <wps:spPr bwMode="auto">
                          <a:xfrm>
                            <a:off x="91440" y="93726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41" name="Rectangle 22"/>
                        <wps:cNvSpPr>
                          <a:spLocks noChangeArrowheads="1"/>
                        </wps:cNvSpPr>
                        <wps:spPr bwMode="auto">
                          <a:xfrm>
                            <a:off x="3017520" y="754380"/>
                            <a:ext cx="182880" cy="182880"/>
                          </a:xfrm>
                          <a:prstGeom prst="rect">
                            <a:avLst/>
                          </a:prstGeom>
                          <a:solidFill>
                            <a:srgbClr val="FFFFFF"/>
                          </a:solidFill>
                          <a:ln w="9525">
                            <a:solidFill>
                              <a:srgbClr val="000000"/>
                            </a:solidFill>
                            <a:miter lim="800000"/>
                            <a:headEnd/>
                            <a:tailEnd/>
                          </a:ln>
                        </wps:spPr>
                        <wps:txbx>
                          <w:txbxContent>
                            <w:p w14:paraId="0693BB4F" w14:textId="77777777" w:rsidR="00105A84" w:rsidRPr="00627E2E" w:rsidRDefault="00105A84" w:rsidP="00E642CB">
                              <w:pPr>
                                <w:rPr>
                                  <w:sz w:val="13"/>
                                  <w:szCs w:val="16"/>
                                </w:rPr>
                              </w:pPr>
                              <w:r w:rsidRPr="00627E2E">
                                <w:rPr>
                                  <w:sz w:val="13"/>
                                  <w:szCs w:val="16"/>
                                </w:rPr>
                                <w:t>5</w:t>
                              </w:r>
                            </w:p>
                          </w:txbxContent>
                        </wps:txbx>
                        <wps:bodyPr rot="0" vert="horz" wrap="square" lIns="73152" tIns="36576" rIns="73152" bIns="36576" anchor="t" anchorCtr="0" upright="1">
                          <a:noAutofit/>
                        </wps:bodyPr>
                      </wps:wsp>
                      <wps:wsp>
                        <wps:cNvPr id="42" name="Rectangle 23"/>
                        <wps:cNvSpPr>
                          <a:spLocks noChangeArrowheads="1"/>
                        </wps:cNvSpPr>
                        <wps:spPr bwMode="auto">
                          <a:xfrm>
                            <a:off x="548640" y="1120140"/>
                            <a:ext cx="182880" cy="182880"/>
                          </a:xfrm>
                          <a:prstGeom prst="rect">
                            <a:avLst/>
                          </a:prstGeom>
                          <a:solidFill>
                            <a:srgbClr val="FFFFFF"/>
                          </a:solidFill>
                          <a:ln w="9525">
                            <a:solidFill>
                              <a:srgbClr val="000000"/>
                            </a:solidFill>
                            <a:miter lim="800000"/>
                            <a:headEnd/>
                            <a:tailEnd/>
                          </a:ln>
                        </wps:spPr>
                        <wps:txbx>
                          <w:txbxContent>
                            <w:p w14:paraId="0693BB50" w14:textId="77777777" w:rsidR="00105A84" w:rsidRPr="00627E2E" w:rsidRDefault="00105A84" w:rsidP="00E642CB">
                              <w:pPr>
                                <w:rPr>
                                  <w:sz w:val="13"/>
                                  <w:szCs w:val="16"/>
                                </w:rPr>
                              </w:pPr>
                              <w:r w:rsidRPr="00627E2E">
                                <w:rPr>
                                  <w:sz w:val="13"/>
                                  <w:szCs w:val="16"/>
                                </w:rPr>
                                <w:t>4</w:t>
                              </w:r>
                            </w:p>
                          </w:txbxContent>
                        </wps:txbx>
                        <wps:bodyPr rot="0" vert="horz" wrap="square" lIns="73152" tIns="36576" rIns="73152" bIns="36576" anchor="t" anchorCtr="0" upright="1">
                          <a:noAutofit/>
                        </wps:bodyPr>
                      </wps:wsp>
                      <wps:wsp>
                        <wps:cNvPr id="43" name="Rectangle 24"/>
                        <wps:cNvSpPr>
                          <a:spLocks noChangeArrowheads="1"/>
                        </wps:cNvSpPr>
                        <wps:spPr bwMode="auto">
                          <a:xfrm>
                            <a:off x="1005840" y="297180"/>
                            <a:ext cx="182880" cy="182880"/>
                          </a:xfrm>
                          <a:prstGeom prst="rect">
                            <a:avLst/>
                          </a:prstGeom>
                          <a:solidFill>
                            <a:srgbClr val="FFFFFF"/>
                          </a:solidFill>
                          <a:ln w="9525">
                            <a:solidFill>
                              <a:srgbClr val="000000"/>
                            </a:solidFill>
                            <a:miter lim="800000"/>
                            <a:headEnd/>
                            <a:tailEnd/>
                          </a:ln>
                        </wps:spPr>
                        <wps:txbx>
                          <w:txbxContent>
                            <w:p w14:paraId="0693BB51" w14:textId="77777777" w:rsidR="00105A84" w:rsidRPr="00627E2E" w:rsidRDefault="00105A84" w:rsidP="00E642CB">
                              <w:pPr>
                                <w:rPr>
                                  <w:sz w:val="13"/>
                                  <w:szCs w:val="16"/>
                                </w:rPr>
                              </w:pPr>
                              <w:r w:rsidRPr="00627E2E">
                                <w:rPr>
                                  <w:sz w:val="13"/>
                                  <w:szCs w:val="16"/>
                                </w:rPr>
                                <w:t>4</w:t>
                              </w:r>
                            </w:p>
                          </w:txbxContent>
                        </wps:txbx>
                        <wps:bodyPr rot="0" vert="horz" wrap="square" lIns="73152" tIns="36576" rIns="73152" bIns="36576" anchor="t" anchorCtr="0" upright="1">
                          <a:noAutofit/>
                        </wps:bodyPr>
                      </wps:wsp>
                      <wps:wsp>
                        <wps:cNvPr id="44" name="Rectangle 25"/>
                        <wps:cNvSpPr>
                          <a:spLocks noChangeArrowheads="1"/>
                        </wps:cNvSpPr>
                        <wps:spPr bwMode="auto">
                          <a:xfrm>
                            <a:off x="2468880" y="1394460"/>
                            <a:ext cx="182880" cy="182880"/>
                          </a:xfrm>
                          <a:prstGeom prst="rect">
                            <a:avLst/>
                          </a:prstGeom>
                          <a:solidFill>
                            <a:srgbClr val="FFFFFF"/>
                          </a:solidFill>
                          <a:ln w="9525">
                            <a:solidFill>
                              <a:srgbClr val="000000"/>
                            </a:solidFill>
                            <a:miter lim="800000"/>
                            <a:headEnd/>
                            <a:tailEnd/>
                          </a:ln>
                        </wps:spPr>
                        <wps:txbx>
                          <w:txbxContent>
                            <w:p w14:paraId="0693BB52" w14:textId="77777777" w:rsidR="00105A84" w:rsidRPr="00627E2E" w:rsidRDefault="00105A84" w:rsidP="00E642CB">
                              <w:pPr>
                                <w:rPr>
                                  <w:sz w:val="13"/>
                                  <w:szCs w:val="16"/>
                                </w:rPr>
                              </w:pPr>
                              <w:r w:rsidRPr="00627E2E">
                                <w:rPr>
                                  <w:sz w:val="13"/>
                                  <w:szCs w:val="16"/>
                                </w:rPr>
                                <w:t>1</w:t>
                              </w:r>
                            </w:p>
                          </w:txbxContent>
                        </wps:txbx>
                        <wps:bodyPr rot="0" vert="horz" wrap="square" lIns="73152" tIns="36576" rIns="73152" bIns="36576" anchor="t" anchorCtr="0" upright="1">
                          <a:noAutofit/>
                        </wps:bodyPr>
                      </wps:wsp>
                      <wps:wsp>
                        <wps:cNvPr id="45" name="Rectangle 26"/>
                        <wps:cNvSpPr>
                          <a:spLocks noChangeArrowheads="1"/>
                        </wps:cNvSpPr>
                        <wps:spPr bwMode="auto">
                          <a:xfrm>
                            <a:off x="1005840" y="1577340"/>
                            <a:ext cx="182880" cy="182880"/>
                          </a:xfrm>
                          <a:prstGeom prst="rect">
                            <a:avLst/>
                          </a:prstGeom>
                          <a:solidFill>
                            <a:srgbClr val="FFFFFF"/>
                          </a:solidFill>
                          <a:ln w="9525">
                            <a:solidFill>
                              <a:srgbClr val="000000"/>
                            </a:solidFill>
                            <a:miter lim="800000"/>
                            <a:headEnd/>
                            <a:tailEnd/>
                          </a:ln>
                        </wps:spPr>
                        <wps:txbx>
                          <w:txbxContent>
                            <w:p w14:paraId="0693BB53" w14:textId="77777777" w:rsidR="00105A84" w:rsidRPr="00627E2E" w:rsidRDefault="00105A84" w:rsidP="00E642CB">
                              <w:pPr>
                                <w:rPr>
                                  <w:sz w:val="13"/>
                                  <w:szCs w:val="16"/>
                                </w:rPr>
                              </w:pPr>
                              <w:r w:rsidRPr="00627E2E">
                                <w:rPr>
                                  <w:sz w:val="13"/>
                                  <w:szCs w:val="16"/>
                                </w:rPr>
                                <w:t>2</w:t>
                              </w:r>
                            </w:p>
                          </w:txbxContent>
                        </wps:txbx>
                        <wps:bodyPr rot="0" vert="horz" wrap="square" lIns="73152" tIns="36576" rIns="73152" bIns="36576" anchor="t" anchorCtr="0" upright="1">
                          <a:noAutofit/>
                        </wps:bodyPr>
                      </wps:wsp>
                      <wps:wsp>
                        <wps:cNvPr id="46" name="Rectangle 27"/>
                        <wps:cNvSpPr>
                          <a:spLocks noChangeArrowheads="1"/>
                        </wps:cNvSpPr>
                        <wps:spPr bwMode="auto">
                          <a:xfrm>
                            <a:off x="3200400" y="937260"/>
                            <a:ext cx="182880" cy="182880"/>
                          </a:xfrm>
                          <a:prstGeom prst="rect">
                            <a:avLst/>
                          </a:prstGeom>
                          <a:solidFill>
                            <a:srgbClr val="FFFFFF"/>
                          </a:solidFill>
                          <a:ln w="9525">
                            <a:solidFill>
                              <a:srgbClr val="000000"/>
                            </a:solidFill>
                            <a:miter lim="800000"/>
                            <a:headEnd/>
                            <a:tailEnd/>
                          </a:ln>
                        </wps:spPr>
                        <wps:txbx>
                          <w:txbxContent>
                            <w:p w14:paraId="0693BB54" w14:textId="77777777" w:rsidR="00105A84" w:rsidRPr="00627E2E" w:rsidRDefault="00105A84" w:rsidP="00E642CB">
                              <w:pPr>
                                <w:rPr>
                                  <w:sz w:val="13"/>
                                  <w:szCs w:val="16"/>
                                </w:rPr>
                              </w:pPr>
                              <w:r w:rsidRPr="00627E2E">
                                <w:rPr>
                                  <w:sz w:val="13"/>
                                  <w:szCs w:val="16"/>
                                </w:rPr>
                                <w:t>6</w:t>
                              </w:r>
                            </w:p>
                          </w:txbxContent>
                        </wps:txbx>
                        <wps:bodyPr rot="0" vert="horz" wrap="square" lIns="73152" tIns="36576" rIns="73152" bIns="36576" anchor="t" anchorCtr="0" upright="1">
                          <a:noAutofit/>
                        </wps:bodyPr>
                      </wps:wsp>
                      <wps:wsp>
                        <wps:cNvPr id="47" name="Line 28"/>
                        <wps:cNvCnPr/>
                        <wps:spPr bwMode="auto">
                          <a:xfrm flipV="1">
                            <a:off x="2926080" y="480060"/>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29"/>
                        <wps:cNvSpPr>
                          <a:spLocks noChangeArrowheads="1"/>
                        </wps:cNvSpPr>
                        <wps:spPr bwMode="auto">
                          <a:xfrm>
                            <a:off x="2834640" y="571500"/>
                            <a:ext cx="182880" cy="182880"/>
                          </a:xfrm>
                          <a:prstGeom prst="rect">
                            <a:avLst/>
                          </a:prstGeom>
                          <a:solidFill>
                            <a:srgbClr val="FFFFFF"/>
                          </a:solidFill>
                          <a:ln w="9525">
                            <a:solidFill>
                              <a:srgbClr val="000000"/>
                            </a:solidFill>
                            <a:miter lim="800000"/>
                            <a:headEnd/>
                            <a:tailEnd/>
                          </a:ln>
                        </wps:spPr>
                        <wps:txbx>
                          <w:txbxContent>
                            <w:p w14:paraId="0693BB55" w14:textId="77777777" w:rsidR="00105A84" w:rsidRPr="00627E2E" w:rsidRDefault="00105A84" w:rsidP="00E642CB">
                              <w:pPr>
                                <w:rPr>
                                  <w:sz w:val="13"/>
                                  <w:szCs w:val="16"/>
                                </w:rPr>
                              </w:pPr>
                              <w:r w:rsidRPr="00627E2E">
                                <w:rPr>
                                  <w:sz w:val="13"/>
                                  <w:szCs w:val="16"/>
                                </w:rPr>
                                <w:t>2</w:t>
                              </w:r>
                            </w:p>
                          </w:txbxContent>
                        </wps:txbx>
                        <wps:bodyPr rot="0" vert="horz" wrap="square" lIns="73152" tIns="36576" rIns="73152" bIns="36576" anchor="t" anchorCtr="0" upright="1">
                          <a:noAutofit/>
                        </wps:bodyPr>
                      </wps:wsp>
                      <wps:wsp>
                        <wps:cNvPr id="49" name="Rectangle 30"/>
                        <wps:cNvSpPr>
                          <a:spLocks noChangeArrowheads="1"/>
                        </wps:cNvSpPr>
                        <wps:spPr bwMode="auto">
                          <a:xfrm>
                            <a:off x="182880" y="571500"/>
                            <a:ext cx="182880" cy="182880"/>
                          </a:xfrm>
                          <a:prstGeom prst="rect">
                            <a:avLst/>
                          </a:prstGeom>
                          <a:solidFill>
                            <a:srgbClr val="FFFFFF"/>
                          </a:solidFill>
                          <a:ln w="9525">
                            <a:solidFill>
                              <a:srgbClr val="000000"/>
                            </a:solidFill>
                            <a:miter lim="800000"/>
                            <a:headEnd/>
                            <a:tailEnd/>
                          </a:ln>
                        </wps:spPr>
                        <wps:txbx>
                          <w:txbxContent>
                            <w:p w14:paraId="0693BB56" w14:textId="77777777" w:rsidR="00105A84" w:rsidRPr="00627E2E" w:rsidRDefault="00105A84" w:rsidP="00E642CB">
                              <w:pPr>
                                <w:rPr>
                                  <w:sz w:val="13"/>
                                  <w:szCs w:val="16"/>
                                </w:rPr>
                              </w:pPr>
                              <w:r w:rsidRPr="00627E2E">
                                <w:rPr>
                                  <w:sz w:val="13"/>
                                  <w:szCs w:val="16"/>
                                </w:rPr>
                                <w:t>3</w:t>
                              </w:r>
                            </w:p>
                          </w:txbxContent>
                        </wps:txbx>
                        <wps:bodyPr rot="0" vert="horz" wrap="square" lIns="73152" tIns="36576" rIns="73152" bIns="36576" anchor="t" anchorCtr="0" upright="1">
                          <a:noAutofit/>
                        </wps:bodyPr>
                      </wps:wsp>
                      <wps:wsp>
                        <wps:cNvPr id="50" name="Document"/>
                        <wps:cNvSpPr>
                          <a:spLocks noEditPoints="1" noChangeArrowheads="1"/>
                        </wps:cNvSpPr>
                        <wps:spPr bwMode="auto">
                          <a:xfrm>
                            <a:off x="2103120" y="1668780"/>
                            <a:ext cx="182880" cy="27432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0693BB57" w14:textId="77777777" w:rsidR="00105A84" w:rsidRPr="00627E2E" w:rsidRDefault="00105A84" w:rsidP="00E642CB">
                              <w:pPr>
                                <w:rPr>
                                  <w:sz w:val="16"/>
                                </w:rPr>
                              </w:pPr>
                              <w:r w:rsidRPr="00627E2E">
                                <w:rPr>
                                  <w:sz w:val="16"/>
                                </w:rPr>
                                <w:t>v</w:t>
                              </w:r>
                            </w:p>
                          </w:txbxContent>
                        </wps:txbx>
                        <wps:bodyPr rot="0" vert="horz" wrap="square" lIns="73152" tIns="36576" rIns="73152" bIns="36576" anchor="t" anchorCtr="0" upright="1">
                          <a:noAutofit/>
                        </wps:bodyPr>
                      </wps:wsp>
                      <wps:wsp>
                        <wps:cNvPr id="51" name="Oval 32"/>
                        <wps:cNvSpPr>
                          <a:spLocks noChangeArrowheads="1"/>
                        </wps:cNvSpPr>
                        <wps:spPr bwMode="auto">
                          <a:xfrm>
                            <a:off x="1828800" y="297180"/>
                            <a:ext cx="182880" cy="182880"/>
                          </a:xfrm>
                          <a:prstGeom prst="ellipse">
                            <a:avLst/>
                          </a:prstGeom>
                          <a:solidFill>
                            <a:srgbClr val="FFFFFF"/>
                          </a:solidFill>
                          <a:ln w="9525">
                            <a:solidFill>
                              <a:srgbClr val="000000"/>
                            </a:solidFill>
                            <a:round/>
                            <a:headEnd/>
                            <a:tailEnd/>
                          </a:ln>
                        </wps:spPr>
                        <wps:txbx>
                          <w:txbxContent>
                            <w:p w14:paraId="0693BB58" w14:textId="77777777" w:rsidR="00105A84" w:rsidRPr="00627E2E" w:rsidRDefault="00105A84" w:rsidP="00E642CB">
                              <w:pPr>
                                <w:rPr>
                                  <w:sz w:val="13"/>
                                  <w:szCs w:val="16"/>
                                </w:rPr>
                              </w:pPr>
                              <w:r w:rsidRPr="00627E2E">
                                <w:rPr>
                                  <w:sz w:val="13"/>
                                  <w:szCs w:val="16"/>
                                </w:rPr>
                                <w:t>$</w:t>
                              </w:r>
                            </w:p>
                          </w:txbxContent>
                        </wps:txbx>
                        <wps:bodyPr rot="0" vert="horz" wrap="square" lIns="73152" tIns="36576" rIns="73152" bIns="36576" anchor="t" anchorCtr="0" upright="1">
                          <a:noAutofit/>
                        </wps:bodyPr>
                      </wps:wsp>
                      <wps:wsp>
                        <wps:cNvPr id="52" name="Oval 33"/>
                        <wps:cNvSpPr>
                          <a:spLocks noChangeArrowheads="1"/>
                        </wps:cNvSpPr>
                        <wps:spPr bwMode="auto">
                          <a:xfrm>
                            <a:off x="548640" y="754380"/>
                            <a:ext cx="182880" cy="182880"/>
                          </a:xfrm>
                          <a:prstGeom prst="ellipse">
                            <a:avLst/>
                          </a:prstGeom>
                          <a:solidFill>
                            <a:srgbClr val="FFFFFF"/>
                          </a:solidFill>
                          <a:ln w="9525">
                            <a:solidFill>
                              <a:srgbClr val="000000"/>
                            </a:solidFill>
                            <a:round/>
                            <a:headEnd/>
                            <a:tailEnd/>
                          </a:ln>
                        </wps:spPr>
                        <wps:txbx>
                          <w:txbxContent>
                            <w:p w14:paraId="0693BB59" w14:textId="77777777" w:rsidR="00105A84" w:rsidRPr="00627E2E" w:rsidRDefault="00105A84" w:rsidP="00E642CB">
                              <w:pPr>
                                <w:rPr>
                                  <w:sz w:val="13"/>
                                  <w:szCs w:val="16"/>
                                </w:rPr>
                              </w:pPr>
                              <w:r w:rsidRPr="00627E2E">
                                <w:rPr>
                                  <w:sz w:val="13"/>
                                  <w:szCs w:val="16"/>
                                </w:rPr>
                                <w:t>$</w:t>
                              </w:r>
                            </w:p>
                          </w:txbxContent>
                        </wps:txbx>
                        <wps:bodyPr rot="0" vert="horz" wrap="square" lIns="73152" tIns="36576" rIns="73152" bIns="36576" anchor="t" anchorCtr="0" upright="1">
                          <a:noAutofit/>
                        </wps:bodyPr>
                      </wps:wsp>
                      <wps:wsp>
                        <wps:cNvPr id="53" name="Oval 34"/>
                        <wps:cNvSpPr>
                          <a:spLocks noChangeArrowheads="1"/>
                        </wps:cNvSpPr>
                        <wps:spPr bwMode="auto">
                          <a:xfrm>
                            <a:off x="3200400" y="571500"/>
                            <a:ext cx="182880" cy="182880"/>
                          </a:xfrm>
                          <a:prstGeom prst="ellipse">
                            <a:avLst/>
                          </a:prstGeom>
                          <a:solidFill>
                            <a:srgbClr val="FFFFFF"/>
                          </a:solidFill>
                          <a:ln w="9525">
                            <a:solidFill>
                              <a:srgbClr val="000000"/>
                            </a:solidFill>
                            <a:round/>
                            <a:headEnd/>
                            <a:tailEnd/>
                          </a:ln>
                        </wps:spPr>
                        <wps:txbx>
                          <w:txbxContent>
                            <w:p w14:paraId="0693BB5A" w14:textId="77777777" w:rsidR="00105A84" w:rsidRPr="00627E2E" w:rsidRDefault="00105A84" w:rsidP="00E642CB">
                              <w:pPr>
                                <w:rPr>
                                  <w:sz w:val="13"/>
                                  <w:szCs w:val="16"/>
                                </w:rPr>
                              </w:pPr>
                              <w:r w:rsidRPr="00627E2E">
                                <w:rPr>
                                  <w:sz w:val="13"/>
                                  <w:szCs w:val="16"/>
                                </w:rPr>
                                <w:t>$</w:t>
                              </w:r>
                            </w:p>
                          </w:txbxContent>
                        </wps:txbx>
                        <wps:bodyPr rot="0" vert="horz" wrap="square" lIns="73152" tIns="36576" rIns="73152" bIns="36576" anchor="t" anchorCtr="0" upright="1">
                          <a:noAutofit/>
                        </wps:bodyPr>
                      </wps:wsp>
                      <wps:wsp>
                        <wps:cNvPr id="54" name="AutoShape 35"/>
                        <wps:cNvSpPr>
                          <a:spLocks noChangeArrowheads="1"/>
                        </wps:cNvSpPr>
                        <wps:spPr bwMode="auto">
                          <a:xfrm>
                            <a:off x="1371600" y="1303020"/>
                            <a:ext cx="274320" cy="1828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one de dessin 6" o:spid="_x0000_s1060"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">
                <v:shape id="_x0000_s1061" type="#_x0000_t75" style="position:absolute;width:36576;height:20574;visibility:visible;mso-wrap-style:square">
                  <v:fill o:detectmouseclick="t"/>
                  <v:path o:connecttype="none"/>
                </v:shape>
                <v:roundrect id="AutoShape 8" o:spid="_x0000_s1062" style="position:absolute;left:914;top:1143;width:8230;height:3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L6MMA&#10;AADbAAAADwAAAGRycy9kb3ducmV2LnhtbESPQWvCQBSE70L/w/IKXkQ3jaWa1FVEELxYaRTPj+wz&#10;Cc2+TbNrjP/eLRQ8DjPzDbNY9aYWHbWusqzgbRKBIM6trrhQcDpux3MQziNrrC2Tgjs5WC1fBgtM&#10;tb3xN3WZL0SAsEtRQel9k0rp8pIMuoltiIN3sa1BH2RbSN3iLcBNLeMo+pAGKw4LJTa0KSn/ya5G&#10;wS8d4yQxdC5G2eGre596d0j2Sg1f+/UnCE+9f4b/2zutIJ7B3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L6MMAAADbAAAADwAAAAAAAAAAAAAAAACYAgAAZHJzL2Rv&#10;d25yZXYueG1sUEsFBgAAAAAEAAQA9QAAAIgDAAAAAA==&#10;">
                  <v:textbox inset="5.76pt,2.88pt,5.76pt,2.88pt">
                    <w:txbxContent>
                      <w:p w14:paraId="0693BB4A" w14:textId="77777777" w:rsidR="00105A84" w:rsidRPr="00627E2E" w:rsidRDefault="00105A84" w:rsidP="00E642CB">
                        <w:pPr>
                          <w:rPr>
                            <w:sz w:val="16"/>
                          </w:rPr>
                        </w:pPr>
                        <w:r w:rsidRPr="00627E2E">
                          <w:rPr>
                            <w:sz w:val="16"/>
                          </w:rPr>
                          <w:t>Banque du tireur</w:t>
                        </w:r>
                      </w:p>
                    </w:txbxContent>
                  </v:textbox>
                </v:roundrect>
                <v:roundrect id="AutoShape 9" o:spid="_x0000_s1063" style="position:absolute;left:914;top:13944;width:8230;height:3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fmsAA&#10;AADbAAAADwAAAGRycy9kb3ducmV2LnhtbERPTYvCMBC9C/6HMIIX0XS7IrYaRRYWvLhiFc9DM7bF&#10;ZlKbbK3/fnNY8Ph43+ttb2rRUesqywo+ZhEI4tzqigsFl/P3dAnCeWSNtWVS8CIH281wsMZU2yef&#10;qMt8IUIIuxQVlN43qZQuL8mgm9mGOHA32xr0AbaF1C0+Q7ipZRxFC2mw4tBQYkNfJeX37NcoeNA5&#10;ThJD12KSHX+6+ad3x+Sg1HjU71YgPPX+Lf5377WCOIwNX8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TfmsAAAADbAAAADwAAAAAAAAAAAAAAAACYAgAAZHJzL2Rvd25y&#10;ZXYueG1sUEsFBgAAAAAEAAQA9QAAAIUDAAAAAA==&#10;">
                  <v:textbox inset="5.76pt,2.88pt,5.76pt,2.88pt">
                    <w:txbxContent>
                      <w:p w14:paraId="0693BB4B" w14:textId="77777777" w:rsidR="00105A84" w:rsidRPr="00627E2E" w:rsidRDefault="00105A84" w:rsidP="00E642CB">
                        <w:pPr>
                          <w:rPr>
                            <w:sz w:val="16"/>
                          </w:rPr>
                        </w:pPr>
                        <w:r w:rsidRPr="00627E2E">
                          <w:rPr>
                            <w:sz w:val="16"/>
                          </w:rPr>
                          <w:t>Vendeur/</w:t>
                        </w:r>
                      </w:p>
                      <w:p w14:paraId="0693BB4C" w14:textId="77777777" w:rsidR="00105A84" w:rsidRPr="00627E2E" w:rsidRDefault="00105A84" w:rsidP="00E642CB">
                        <w:pPr>
                          <w:rPr>
                            <w:sz w:val="16"/>
                          </w:rPr>
                        </w:pPr>
                        <w:r w:rsidRPr="00627E2E">
                          <w:rPr>
                            <w:sz w:val="16"/>
                          </w:rPr>
                          <w:t>tireur</w:t>
                        </w:r>
                      </w:p>
                    </w:txbxContent>
                  </v:textbox>
                </v:roundrect>
                <v:roundrect id="AutoShape 10" o:spid="_x0000_s1064" style="position:absolute;left:27432;top:1143;width:8229;height:3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6AcMA&#10;AADbAAAADwAAAGRycy9kb3ducmV2LnhtbESPQWvCQBSE7wX/w/KEXqRujCImdRURCr1YMZGeH9nX&#10;JJh9G7NrTP99VxB6HGbmG2a9HUwjeupcbVnBbBqBIC6srrlUcM4/3lYgnEfW2FgmBb/kYLsZvawx&#10;1fbOJ+ozX4oAYZeigsr7NpXSFRUZdFPbEgfvx3YGfZBdKXWH9wA3jYyjaCkN1hwWKmxpX1FxyW5G&#10;wZXyOEkMfZeT7PjVL+beHZODUq/jYfcOwtPg/8PP9qdWECfw+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6AcMAAADbAAAADwAAAAAAAAAAAAAAAACYAgAAZHJzL2Rv&#10;d25yZXYueG1sUEsFBgAAAAAEAAQA9QAAAIgDAAAAAA==&#10;">
                  <v:textbox inset="5.76pt,2.88pt,5.76pt,2.88pt">
                    <w:txbxContent>
                      <w:p w14:paraId="0693BB4D" w14:textId="77777777" w:rsidR="00105A84" w:rsidRPr="00627E2E" w:rsidRDefault="00105A84" w:rsidP="00E642CB">
                        <w:pPr>
                          <w:rPr>
                            <w:sz w:val="16"/>
                          </w:rPr>
                        </w:pPr>
                        <w:r w:rsidRPr="00627E2E">
                          <w:rPr>
                            <w:sz w:val="16"/>
                          </w:rPr>
                          <w:t>Banque du tiré</w:t>
                        </w:r>
                      </w:p>
                    </w:txbxContent>
                  </v:textbox>
                </v:roundrect>
                <v:roundrect id="AutoShape 11" o:spid="_x0000_s1065" style="position:absolute;left:27432;top:13944;width:8229;height:3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FQcEA&#10;AADbAAAADwAAAGRycy9kb3ducmV2LnhtbERPTWvCQBC9F/wPywheim6alGKiqxRB6KUNjeJ5yI5J&#10;MDsbs2uS/vvuodDj431v95NpxUC9aywreFlFIIhLqxuuFJxPx+UahPPIGlvLpOCHHOx3s6ctZtqO&#10;/E1D4SsRQthlqKD2vsukdGVNBt3KdsSBu9reoA+wr6TucQzhppVxFL1Jgw2Hhho7OtRU3oqHUXCn&#10;U5ymhi7Vc5F/Da+Jd3n6qdRiPr1vQHia/L/4z/2hFSRhffg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RUHBAAAA2wAAAA8AAAAAAAAAAAAAAAAAmAIAAGRycy9kb3du&#10;cmV2LnhtbFBLBQYAAAAABAAEAPUAAACGAwAAAAA=&#10;">
                  <v:textbox inset="5.76pt,2.88pt,5.76pt,2.88pt">
                    <w:txbxContent>
                      <w:p w14:paraId="0693BB4E" w14:textId="77777777" w:rsidR="00105A84" w:rsidRPr="00627E2E" w:rsidRDefault="00105A84" w:rsidP="00E642CB">
                        <w:pPr>
                          <w:rPr>
                            <w:sz w:val="16"/>
                          </w:rPr>
                        </w:pPr>
                        <w:r>
                          <w:rPr>
                            <w:sz w:val="16"/>
                          </w:rPr>
                          <w:t>Acheteur/ tiré</w:t>
                        </w:r>
                      </w:p>
                    </w:txbxContent>
                  </v:textbox>
                </v:roundrect>
                <v:line id="Line 12" o:spid="_x0000_s1066" style="position:absolute;flip:y;visibility:visible;mso-wrap-style:square" from="2743,4800" to="2743,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13" o:spid="_x0000_s1067" style="position:absolute;visibility:visible;mso-wrap-style:square" from="6400,4800" to="6400,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4" o:spid="_x0000_s1068" style="position:absolute;flip:x;visibility:visible;mso-wrap-style:square" from="9144,3886" to="27432,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15" o:spid="_x0000_s1069" style="position:absolute;visibility:visible;mso-wrap-style:square" from="9144,14859" to="2743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16" o:spid="_x0000_s1070" style="position:absolute;flip:x;visibility:visible;mso-wrap-style:square" from="9144,16687" to="2743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7" o:spid="_x0000_s1071" style="position:absolute;flip:y;visibility:visible;mso-wrap-style:square" from="32918,4800" to="32918,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shape id="Document" o:spid="_x0000_s1072" style="position:absolute;left:27432;top:10287;width:1828;height:27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zw8QA&#10;AADbAAAADwAAAGRycy9kb3ducmV2LnhtbESPT2sCMRTE7wW/Q3hCb5qtBbdsjSKCWOrJ7YLX5+Z1&#10;/3TzsiZR12/fFIQeh5n5DbNYDaYTV3K+sazgZZqAIC6tbrhSUHxtJ28gfEDW2FkmBXfysFqOnhaY&#10;aXvjA13zUIkIYZ+hgjqEPpPSlzUZ9FPbE0fv2zqDIUpXSe3wFuGmk7MkmUuDDceFGnva1FT+5Bej&#10;wN2LY7nOZwd3Pu02afHZtum+Vep5PKzfQQQawn/40f7QCl5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Ws8PEAAAA2wAAAA8AAAAAAAAAAAAAAAAAmAIAAGRycy9k&#10;b3ducmV2LnhtbFBLBQYAAAAABAAEAPUAAACJAw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shape id="Document" o:spid="_x0000_s1073" style="position:absolute;left:19202;top:12115;width:1829;height:27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nscAA&#10;AADbAAAADwAAAGRycy9kb3ducmV2LnhtbERPy2oCMRTdF/yHcIXuakYLVUajiFAq7cpxwO11cp2H&#10;k5sxiTr+fbMQXB7Oe7HqTStu5HxtWcF4lIAgLqyuuVSQ778/ZiB8QNbYWiYFD/KwWg7eFphqe+cd&#10;3bJQihjCPkUFVQhdKqUvKjLoR7YjjtzJOoMhQldK7fAew00rJ0nyJQ3WHBsq7GhTUXHOrkaBe+SH&#10;Yp1Ndu5y/NlM89+mmf41Sr0P+/UcRKA+vMRP91Yr+Ixj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knscAAAADbAAAADwAAAAAAAAAAAAAAAACYAgAAZHJzL2Rvd25y&#10;ZXYueG1sUEsFBgAAAAAEAAQA9QAAAIUDA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line id="Line 20" o:spid="_x0000_s1074" style="position:absolute;flip:y;visibility:visible;mso-wrap-style:square" from="31089,4800" to="31089,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shape id="Document" o:spid="_x0000_s1075" style="position:absolute;left:914;top:9372;width:1829;height:27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YysAA&#10;AADbAAAADwAAAGRycy9kb3ducmV2LnhtbERPy2oCMRTdF/yHcIXuakYpVUajiFAq7cpxwO11cp2H&#10;k5sxiTr+fbMQXB7Oe7HqTStu5HxtWcF4lIAgLqyuuVSQ778/ZiB8QNbYWiYFD/KwWg7eFphqe+cd&#10;3bJQihjCPkUFVQhdKqUvKjLoR7YjjtzJOoMhQldK7fAew00rJ0nyJQ3WHBsq7GhTUXHOrkaBe+SH&#10;Yp1Ndu5y/NlM89+mmf41Sr0P+/UcRKA+vMRP91Yr+Izr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lYysAAAADbAAAADwAAAAAAAAAAAAAAAACYAgAAZHJzL2Rvd25y&#10;ZXYueG1sUEsFBgAAAAAEAAQA9QAAAIUDAAAAAA==&#10;" path="m10757,21632r-5570,l85,17509r,-6660l85,81r10672,l21706,81r,10571l21706,21632r-10949,xem85,17509r5102,l5187,21632,85,17509xe" fillcolor="#d8ebb3">
                  <v:stroke joinstyle="miter"/>
                  <v:shadow on="t" offset="6pt,6pt"/>
                  <v:path o:connecttype="custom" o:connectlocs="91076,274726;720,137782;91076,1029;183777,135280;91076,274726;0,0;182880,0;182880,274320" o:connectangles="0,0,0,0,0,0,0,0" textboxrect="977,818,20622,16429"/>
                  <o:lock v:ext="edit" verticies="t"/>
                </v:shape>
                <v:rect id="Rectangle 22" o:spid="_x0000_s1076" style="position:absolute;left:30175;top:7543;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MjcYA&#10;AADbAAAADwAAAGRycy9kb3ducmV2LnhtbESPQWvCQBSE74L/YXlCL1I3liASXaVoW6qHgrEHj4/s&#10;MxubfRuzW03767uC0OMwM98w82Vna3Gh1leOFYxHCQjiwumKSwWf+9fHKQgfkDXWjknBD3lYLvq9&#10;OWbaXXlHlzyUIkLYZ6jAhNBkUvrCkEU/cg1x9I6utRiibEupW7xGuK3lU5JMpMWK44LBhlaGiq/8&#10;2yrYrkNavv1uDi+n6XBzPn+kXhun1MOge56BCNSF//C9/a4VpG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MjcYAAADbAAAADwAAAAAAAAAAAAAAAACYAgAAZHJz&#10;L2Rvd25yZXYueG1sUEsFBgAAAAAEAAQA9QAAAIsDAAAAAA==&#10;">
                  <v:textbox inset="5.76pt,2.88pt,5.76pt,2.88pt">
                    <w:txbxContent>
                      <w:p w14:paraId="0693BB4F" w14:textId="77777777" w:rsidR="00105A84" w:rsidRPr="00627E2E" w:rsidRDefault="00105A84" w:rsidP="00E642CB">
                        <w:pPr>
                          <w:rPr>
                            <w:sz w:val="13"/>
                            <w:szCs w:val="16"/>
                          </w:rPr>
                        </w:pPr>
                        <w:r w:rsidRPr="00627E2E">
                          <w:rPr>
                            <w:sz w:val="13"/>
                            <w:szCs w:val="16"/>
                          </w:rPr>
                          <w:t>5</w:t>
                        </w:r>
                      </w:p>
                    </w:txbxContent>
                  </v:textbox>
                </v:rect>
                <v:rect id="Rectangle 23" o:spid="_x0000_s1077" style="position:absolute;left:5486;top:11201;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S+sYA&#10;AADbAAAADwAAAGRycy9kb3ducmV2LnhtbESPT2sCMRTE74LfITzBi2i2shRZjSJaS+2h4J+Dx8fm&#10;uVndvKybVLf99E2h0OMwM79hZovWVuJOjS8dK3gaJSCIc6dLLhQcD5vhBIQPyBorx6Tgizws5t3O&#10;DDPtHryj+z4UIkLYZ6jAhFBnUvrckEU/cjVx9M6usRiibAqpG3xEuK3kOEmepcWS44LBmlaG8uv+&#10;0yp4X4e0eP3enl4uk8H2dvtIvTZOqX6vXU5BBGrDf/iv/aYVpG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S+sYAAADbAAAADwAAAAAAAAAAAAAAAACYAgAAZHJz&#10;L2Rvd25yZXYueG1sUEsFBgAAAAAEAAQA9QAAAIsDAAAAAA==&#10;">
                  <v:textbox inset="5.76pt,2.88pt,5.76pt,2.88pt">
                    <w:txbxContent>
                      <w:p w14:paraId="0693BB50" w14:textId="77777777" w:rsidR="00105A84" w:rsidRPr="00627E2E" w:rsidRDefault="00105A84" w:rsidP="00E642CB">
                        <w:pPr>
                          <w:rPr>
                            <w:sz w:val="13"/>
                            <w:szCs w:val="16"/>
                          </w:rPr>
                        </w:pPr>
                        <w:r w:rsidRPr="00627E2E">
                          <w:rPr>
                            <w:sz w:val="13"/>
                            <w:szCs w:val="16"/>
                          </w:rPr>
                          <w:t>4</w:t>
                        </w:r>
                      </w:p>
                    </w:txbxContent>
                  </v:textbox>
                </v:rect>
                <v:rect id="Rectangle 24" o:spid="_x0000_s1078" style="position:absolute;left:10058;top:2971;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YcYA&#10;AADbAAAADwAAAGRycy9kb3ducmV2LnhtbESPT2sCMRTE74LfITzBi9Rs7SKyNUrpH6kehKqHHh+b&#10;52bt5mXdpLr105uC4HGYmd8w03lrK3GixpeOFTwOExDEudMlFwp224+HCQgfkDVWjknBH3mYz7qd&#10;KWbanfmLTptQiAhhn6ECE0KdSelzQxb90NXE0du7xmKIsimkbvAc4baSoyQZS4slxwWDNb0ayn82&#10;v1bB6i2kxeKy/H4/TAbL43Gdem2cUv1e+/IMIlAb7uFb+1MrSJ/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YcYAAADbAAAADwAAAAAAAAAAAAAAAACYAgAAZHJz&#10;L2Rvd25yZXYueG1sUEsFBgAAAAAEAAQA9QAAAIsDAAAAAA==&#10;">
                  <v:textbox inset="5.76pt,2.88pt,5.76pt,2.88pt">
                    <w:txbxContent>
                      <w:p w14:paraId="0693BB51" w14:textId="77777777" w:rsidR="00105A84" w:rsidRPr="00627E2E" w:rsidRDefault="00105A84" w:rsidP="00E642CB">
                        <w:pPr>
                          <w:rPr>
                            <w:sz w:val="13"/>
                            <w:szCs w:val="16"/>
                          </w:rPr>
                        </w:pPr>
                        <w:r w:rsidRPr="00627E2E">
                          <w:rPr>
                            <w:sz w:val="13"/>
                            <w:szCs w:val="16"/>
                          </w:rPr>
                          <w:t>4</w:t>
                        </w:r>
                      </w:p>
                    </w:txbxContent>
                  </v:textbox>
                </v:rect>
                <v:rect id="Rectangle 25" o:spid="_x0000_s1079" style="position:absolute;left:24688;top:13944;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vFcYA&#10;AADbAAAADwAAAGRycy9kb3ducmV2LnhtbESPQWvCQBSE70L/w/IKvUjdWIJI6iqlalEPQlMPHh/Z&#10;12za7NuY3Wr017uC0OMwM98wk1lna3Gk1leOFQwHCQjiwumKSwW7r+XzGIQPyBprx6TgTB5m04fe&#10;BDPtTvxJxzyUIkLYZ6jAhNBkUvrCkEU/cA1x9L5dazFE2ZZSt3iKcFvLlyQZSYsVxwWDDb0bKn7z&#10;P6tgMw9p+XFZ7xc/4/76cNimXhun1NNj9/YKIlAX/sP39korSFO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vFcYAAADbAAAADwAAAAAAAAAAAAAAAACYAgAAZHJz&#10;L2Rvd25yZXYueG1sUEsFBgAAAAAEAAQA9QAAAIsDAAAAAA==&#10;">
                  <v:textbox inset="5.76pt,2.88pt,5.76pt,2.88pt">
                    <w:txbxContent>
                      <w:p w14:paraId="0693BB52" w14:textId="77777777" w:rsidR="00105A84" w:rsidRPr="00627E2E" w:rsidRDefault="00105A84" w:rsidP="00E642CB">
                        <w:pPr>
                          <w:rPr>
                            <w:sz w:val="13"/>
                            <w:szCs w:val="16"/>
                          </w:rPr>
                        </w:pPr>
                        <w:r w:rsidRPr="00627E2E">
                          <w:rPr>
                            <w:sz w:val="13"/>
                            <w:szCs w:val="16"/>
                          </w:rPr>
                          <w:t>1</w:t>
                        </w:r>
                      </w:p>
                    </w:txbxContent>
                  </v:textbox>
                </v:rect>
                <v:rect id="Rectangle 26" o:spid="_x0000_s1080" style="position:absolute;left:10058;top:15773;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KjsYA&#10;AADbAAAADwAAAGRycy9kb3ducmV2LnhtbESPQWsCMRSE74L/ITyhF6lZyyqyNYrYWmoPhaqHHh+b&#10;52Z187Juom7765uC4HGYmW+Y6by1lbhQ40vHCoaDBARx7nTJhYLddvU4AeEDssbKMSn4IQ/zWbcz&#10;xUy7K3/RZRMKESHsM1RgQqgzKX1uyKIfuJo4envXWAxRNoXUDV4j3FbyKUnG0mLJccFgTUtD+XFz&#10;tgo+XkJavP2uv18Pk/76dPpMvTZOqYdeu3gGEagN9/Ct/a4VpC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sKjsYAAADbAAAADwAAAAAAAAAAAAAAAACYAgAAZHJz&#10;L2Rvd25yZXYueG1sUEsFBgAAAAAEAAQA9QAAAIsDAAAAAA==&#10;">
                  <v:textbox inset="5.76pt,2.88pt,5.76pt,2.88pt">
                    <w:txbxContent>
                      <w:p w14:paraId="0693BB53" w14:textId="77777777" w:rsidR="00105A84" w:rsidRPr="00627E2E" w:rsidRDefault="00105A84" w:rsidP="00E642CB">
                        <w:pPr>
                          <w:rPr>
                            <w:sz w:val="13"/>
                            <w:szCs w:val="16"/>
                          </w:rPr>
                        </w:pPr>
                        <w:r w:rsidRPr="00627E2E">
                          <w:rPr>
                            <w:sz w:val="13"/>
                            <w:szCs w:val="16"/>
                          </w:rPr>
                          <w:t>2</w:t>
                        </w:r>
                      </w:p>
                    </w:txbxContent>
                  </v:textbox>
                </v:rect>
                <v:rect id="Rectangle 27" o:spid="_x0000_s1081" style="position:absolute;left:32004;top:9372;width:182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U+cYA&#10;AADbAAAADwAAAGRycy9kb3ducmV2LnhtbESPQWsCMRSE7wX/Q3hCL6VmLYvIapSiVtRDobYHj4/N&#10;c7N287JuUl399UYQehxm5htmPG1tJU7U+NKxgn4vAUGcO11yoeDn++N1CMIHZI2VY1JwIQ/TSedp&#10;jJl2Z/6i0zYUIkLYZ6jAhFBnUvrckEXfczVx9PausRiibAqpGzxHuK3kW5IMpMWS44LBmmaG8t/t&#10;n1WwmYe0WF7Xu8Vh+LI+Hj9Tr41T6rnbvo9ABGrDf/jRXmkF6QD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mU+cYAAADbAAAADwAAAAAAAAAAAAAAAACYAgAAZHJz&#10;L2Rvd25yZXYueG1sUEsFBgAAAAAEAAQA9QAAAIsDAAAAAA==&#10;">
                  <v:textbox inset="5.76pt,2.88pt,5.76pt,2.88pt">
                    <w:txbxContent>
                      <w:p w14:paraId="0693BB54" w14:textId="77777777" w:rsidR="00105A84" w:rsidRPr="00627E2E" w:rsidRDefault="00105A84" w:rsidP="00E642CB">
                        <w:pPr>
                          <w:rPr>
                            <w:sz w:val="13"/>
                            <w:szCs w:val="16"/>
                          </w:rPr>
                        </w:pPr>
                        <w:r w:rsidRPr="00627E2E">
                          <w:rPr>
                            <w:sz w:val="13"/>
                            <w:szCs w:val="16"/>
                          </w:rPr>
                          <w:t>6</w:t>
                        </w:r>
                      </w:p>
                    </w:txbxContent>
                  </v:textbox>
                </v:rect>
                <v:line id="Line 28" o:spid="_x0000_s1082" style="position:absolute;flip:y;visibility:visible;mso-wrap-style:square" from="29260,4800" to="29267,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rect id="Rectangle 29" o:spid="_x0000_s1083" style="position:absolute;left:28346;top:5715;width:182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lEMMA&#10;AADbAAAADwAAAGRycy9kb3ducmV2LnhtbERPy2oCMRTdF/yHcAU3pWaUocjUKOILdVFQu+jyMrlO&#10;Ric34yTqtF9vFoUuD+c9nra2EndqfOlYwaCfgCDOnS65UPB1XL2NQPiArLFyTAp+yMN00nkZY6bd&#10;g/d0P4RCxBD2GSowIdSZlD43ZNH3XU0cuZNrLIYIm0LqBh8x3FZymCTv0mLJscFgTXND+eVwswp2&#10;i5AW69/t9/I8et1er5+p18Yp1eu2sw8QgdrwL/5zb7SCNI6NX+IP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lEMMAAADbAAAADwAAAAAAAAAAAAAAAACYAgAAZHJzL2Rv&#10;d25yZXYueG1sUEsFBgAAAAAEAAQA9QAAAIgDAAAAAA==&#10;">
                  <v:textbox inset="5.76pt,2.88pt,5.76pt,2.88pt">
                    <w:txbxContent>
                      <w:p w14:paraId="0693BB55" w14:textId="77777777" w:rsidR="00105A84" w:rsidRPr="00627E2E" w:rsidRDefault="00105A84" w:rsidP="00E642CB">
                        <w:pPr>
                          <w:rPr>
                            <w:sz w:val="13"/>
                            <w:szCs w:val="16"/>
                          </w:rPr>
                        </w:pPr>
                        <w:r w:rsidRPr="00627E2E">
                          <w:rPr>
                            <w:sz w:val="13"/>
                            <w:szCs w:val="16"/>
                          </w:rPr>
                          <w:t>2</w:t>
                        </w:r>
                      </w:p>
                    </w:txbxContent>
                  </v:textbox>
                </v:rect>
                <v:rect id="Rectangle 30" o:spid="_x0000_s1084" style="position:absolute;left:1828;top:5715;width:182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i8cA&#10;AADbAAAADwAAAGRycy9kb3ducmV2LnhtbESPT2sCMRTE74LfITyhl1KzlqXYrVHEVqk9CP459PjY&#10;PDerm5d1E3XbT28KBY/DzPyGGU1aW4kLNb50rGDQT0AQ506XXCjYbedPQxA+IGusHJOCH/IwGXc7&#10;I8y0u/KaLptQiAhhn6ECE0KdSelzQxZ939XE0du7xmKIsimkbvAa4baSz0nyIi2WHBcM1jQzlB83&#10;Z6vg6z2kxeJ3+f1xGD4uT6dV6rVxSj302ukbiEBtuIf/259aQfoKf1/iD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AIvHAAAA2wAAAA8AAAAAAAAAAAAAAAAAmAIAAGRy&#10;cy9kb3ducmV2LnhtbFBLBQYAAAAABAAEAPUAAACMAwAAAAA=&#10;">
                  <v:textbox inset="5.76pt,2.88pt,5.76pt,2.88pt">
                    <w:txbxContent>
                      <w:p w14:paraId="0693BB56" w14:textId="77777777" w:rsidR="00105A84" w:rsidRPr="00627E2E" w:rsidRDefault="00105A84" w:rsidP="00E642CB">
                        <w:pPr>
                          <w:rPr>
                            <w:sz w:val="13"/>
                            <w:szCs w:val="16"/>
                          </w:rPr>
                        </w:pPr>
                        <w:r w:rsidRPr="00627E2E">
                          <w:rPr>
                            <w:sz w:val="13"/>
                            <w:szCs w:val="16"/>
                          </w:rPr>
                          <w:t>3</w:t>
                        </w:r>
                      </w:p>
                    </w:txbxContent>
                  </v:textbox>
                </v:rect>
                <v:shape id="Document" o:spid="_x0000_s1085" style="position:absolute;left:21031;top:16687;width:1829;height:274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xscQA&#10;AADbAAAADwAAAGRycy9kb3ducmV2LnhtbESPTWvCQBCG70L/wzIFb7pR/Cipq6i0IEgP2h48Dtkx&#10;WczOhuzWxH/fOQg9Du+8z8yz2vS+VndqowtsYDLOQBEXwTouDfx8f47eQMWEbLEOTAYeFGGzfhms&#10;MLeh4xPdz6lUAuGYo4EqpSbXOhYVeYzj0BBLdg2txyRjW2rbYidwX+tpli20R8dyocKG9hUVt/Ov&#10;F4pzl9viuLtMw8fX/NDN9stwehgzfO2376AS9el/+dk+WANz+V5cxAP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8bHEAAAA2wAAAA8AAAAAAAAAAAAAAAAAmAIAAGRycy9k&#10;b3ducmV2LnhtbFBLBQYAAAAABAAEAPUAAACJAwAAAAA=&#10;" adj="-11796480,,5400" path="m10757,21632r-5570,l85,17509r,-6660l85,81r10672,l21706,81r,10571l21706,21632r-10949,xem85,17509r5102,l5187,21632,85,17509xe" fillcolor="#d8ebb3">
                  <v:stroke joinstyle="miter"/>
                  <v:shadow on="t" offset="6pt,6pt"/>
                  <v:formulas/>
                  <v:path o:connecttype="custom" o:connectlocs="91076,274726;720,137782;91076,1029;183777,135280;91076,274726;0,0;182880,0;182880,274320" o:connectangles="0,0,0,0,0,0,0,0" textboxrect="977,818,20622,16429"/>
                  <o:lock v:ext="edit" verticies="t"/>
                  <v:textbox inset="5.76pt,2.88pt,5.76pt,2.88pt">
                    <w:txbxContent>
                      <w:p w14:paraId="0693BB57" w14:textId="77777777" w:rsidR="00105A84" w:rsidRPr="00627E2E" w:rsidRDefault="00105A84" w:rsidP="00E642CB">
                        <w:pPr>
                          <w:rPr>
                            <w:sz w:val="16"/>
                          </w:rPr>
                        </w:pPr>
                        <w:r w:rsidRPr="00627E2E">
                          <w:rPr>
                            <w:sz w:val="16"/>
                          </w:rPr>
                          <w:t>v</w:t>
                        </w:r>
                      </w:p>
                    </w:txbxContent>
                  </v:textbox>
                </v:shape>
                <v:oval id="Oval 32" o:spid="_x0000_s1086" style="position:absolute;left:18288;top:2971;width:182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7QsEA&#10;AADbAAAADwAAAGRycy9kb3ducmV2LnhtbESPQYvCMBSE74L/ITzBm6YKinSNsgiCIIjW6vnRPNvu&#10;Ni+libb+eyMIHoeZ+YZZrjtTiQc1rrSsYDKOQBBnVpecK0jP29EChPPIGivLpOBJDtarfm+JsbYt&#10;n+iR+FwECLsYFRTe17GULivIoBvbmjh4N9sY9EE2udQNtgFuKjmNork0WHJYKLCmTUHZf3I3CpK0&#10;umb1ze2Oh+n+osu/PKFtq9Rw0P3+gPDU+W/4095pBbMJ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0LBAAAA2wAAAA8AAAAAAAAAAAAAAAAAmAIAAGRycy9kb3du&#10;cmV2LnhtbFBLBQYAAAAABAAEAPUAAACGAwAAAAA=&#10;">
                  <v:textbox inset="5.76pt,2.88pt,5.76pt,2.88pt">
                    <w:txbxContent>
                      <w:p w14:paraId="0693BB58" w14:textId="77777777" w:rsidR="00105A84" w:rsidRPr="00627E2E" w:rsidRDefault="00105A84" w:rsidP="00E642CB">
                        <w:pPr>
                          <w:rPr>
                            <w:sz w:val="13"/>
                            <w:szCs w:val="16"/>
                          </w:rPr>
                        </w:pPr>
                        <w:r w:rsidRPr="00627E2E">
                          <w:rPr>
                            <w:sz w:val="13"/>
                            <w:szCs w:val="16"/>
                          </w:rPr>
                          <w:t>$</w:t>
                        </w:r>
                      </w:p>
                    </w:txbxContent>
                  </v:textbox>
                </v:oval>
                <v:oval id="Oval 33" o:spid="_x0000_s1087" style="position:absolute;left:5486;top:7543;width:182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lNcEA&#10;AADbAAAADwAAAGRycy9kb3ducmV2LnhtbESPQYvCMBSE74L/ITzBm6YWlKUaRQRBEMTtqudH82yr&#10;zUtpoq3/fiMIHoeZ+YZZrDpTiSc1rrSsYDKOQBBnVpecKzj9bUc/IJxH1lhZJgUvcrBa9nsLTLRt&#10;+Zeeqc9FgLBLUEHhfZ1I6bKCDLqxrYmDd7WNQR9kk0vdYBvgppJxFM2kwZLDQoE1bQrK7unDKEhP&#10;1SWrr253PMT7sy5veUrbVqnhoFvPQXjq/Df8ae+0gmkM7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xZTXBAAAA2wAAAA8AAAAAAAAAAAAAAAAAmAIAAGRycy9kb3du&#10;cmV2LnhtbFBLBQYAAAAABAAEAPUAAACGAwAAAAA=&#10;">
                  <v:textbox inset="5.76pt,2.88pt,5.76pt,2.88pt">
                    <w:txbxContent>
                      <w:p w14:paraId="0693BB59" w14:textId="77777777" w:rsidR="00105A84" w:rsidRPr="00627E2E" w:rsidRDefault="00105A84" w:rsidP="00E642CB">
                        <w:pPr>
                          <w:rPr>
                            <w:sz w:val="13"/>
                            <w:szCs w:val="16"/>
                          </w:rPr>
                        </w:pPr>
                        <w:r w:rsidRPr="00627E2E">
                          <w:rPr>
                            <w:sz w:val="13"/>
                            <w:szCs w:val="16"/>
                          </w:rPr>
                          <w:t>$</w:t>
                        </w:r>
                      </w:p>
                    </w:txbxContent>
                  </v:textbox>
                </v:oval>
                <v:oval id="Oval 34" o:spid="_x0000_s1088" style="position:absolute;left:32004;top:5715;width:1828;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ArsQA&#10;AADbAAAADwAAAGRycy9kb3ducmV2LnhtbESPS2vDMBCE74X8B7GB3ho5KS3BsWxCIGAolNZ5nBdr&#10;/UislbFU2/33VaHQ4zAz3zBJNptOjDS41rKC9SoCQVxa3XKt4Hw6Pm1BOI+ssbNMCr7JQZYuHhKM&#10;tZ34k8bC1yJA2MWooPG+j6V0ZUMG3cr2xMGr7GDQBznUUg84Bbjp5CaKXqXBlsNCgz0dGirvxZdR&#10;UJy7a9lXLv9437xddHurCzpOSj0u5/0OhKfZ/4f/2rlW8PI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wK7EAAAA2wAAAA8AAAAAAAAAAAAAAAAAmAIAAGRycy9k&#10;b3ducmV2LnhtbFBLBQYAAAAABAAEAPUAAACJAwAAAAA=&#10;">
                  <v:textbox inset="5.76pt,2.88pt,5.76pt,2.88pt">
                    <w:txbxContent>
                      <w:p w14:paraId="0693BB5A" w14:textId="77777777" w:rsidR="00105A84" w:rsidRPr="00627E2E" w:rsidRDefault="00105A84" w:rsidP="00E642CB">
                        <w:pPr>
                          <w:rPr>
                            <w:sz w:val="13"/>
                            <w:szCs w:val="16"/>
                          </w:rPr>
                        </w:pPr>
                        <w:r w:rsidRPr="00627E2E">
                          <w:rPr>
                            <w:sz w:val="13"/>
                            <w:szCs w:val="16"/>
                          </w:rPr>
                          <w:t>$</w:t>
                        </w:r>
                      </w:p>
                    </w:txbxContent>
                  </v:textbox>
                </v:oval>
                <v:shape id="AutoShape 35" o:spid="_x0000_s1089" type="#_x0000_t16" style="position:absolute;left:13716;top:13030;width:274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eP8MA&#10;AADbAAAADwAAAGRycy9kb3ducmV2LnhtbESP0WoCMRRE3wv+Q7hC32rWolK3RpHKQn2RavsBl811&#10;s7q5WZKsrn69KRT6OMzMGWax6m0jLuRD7VjBeJSBIC6drrlS8PNdvLyBCBFZY+OYFNwowGo5eFpg&#10;rt2V93Q5xEokCIccFZgY21zKUBqyGEauJU7e0XmLMUlfSe3xmuC2ka9ZNpMWa04LBlv6MFSeD51V&#10;8HXf9fP1vN247anAwptu5kKn1POwX7+DiNTH//Bf+1MrmE7g9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eP8MAAADbAAAADwAAAAAAAAAAAAAAAACYAgAAZHJzL2Rv&#10;d25yZXYueG1sUEsFBgAAAAAEAAQA9QAAAIgDAAAAAA==&#10;"/>
                <w10:anchorlock/>
              </v:group>
            </w:pict>
          </mc:Fallback>
        </mc:AlternateContent>
      </w:r>
    </w:p>
    <w:p w14:paraId="0693B589"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Le client vend un lot de marchandises payables au comptant ou moyennant la possibilité pour l’acheteur de bénéficier d’une réduction en cas de paiement comptant.  Dans ce cadre, il tire une lettre de change sur son débiteur (l’acheteur) et lui demande de l’accepter.</w:t>
      </w:r>
    </w:p>
    <w:p w14:paraId="0693B58A"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Le tiré accepte la lettre de change, averti sa banque et autorise l’escompte en cas de présentation de la lettre de change.</w:t>
      </w:r>
    </w:p>
    <w:p w14:paraId="0693B58B"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Le tireur présente la lettre de change à l’escompte (via sa banque) à la banque du tiré, accompagné de la demande d’escompte.</w:t>
      </w:r>
    </w:p>
    <w:p w14:paraId="0693B58C"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 xml:space="preserve">La banque du tiré verse la </w:t>
      </w:r>
      <w:r w:rsidRPr="00E642CB">
        <w:rPr>
          <w:rStyle w:val="titleniv11"/>
          <w:color w:val="auto"/>
          <w:sz w:val="20"/>
          <w:szCs w:val="20"/>
        </w:rPr>
        <w:t>valeur nominale</w:t>
      </w:r>
      <w:r w:rsidRPr="00E642CB">
        <w:rPr>
          <w:rStyle w:val="titleniv11"/>
          <w:b w:val="0"/>
          <w:color w:val="auto"/>
          <w:sz w:val="20"/>
          <w:szCs w:val="20"/>
        </w:rPr>
        <w:t xml:space="preserve"> de la lettre de change sur le compte du tireur (via sa banque).</w:t>
      </w:r>
    </w:p>
    <w:p w14:paraId="0693B58D"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Ensuite, la banque débite le compte du tiré des frais d’escompte (agios + intérêts).</w:t>
      </w:r>
    </w:p>
    <w:p w14:paraId="0693B58E" w14:textId="77777777" w:rsidR="00E642CB" w:rsidRPr="00E642CB" w:rsidRDefault="00E642CB" w:rsidP="0086187F">
      <w:pPr>
        <w:numPr>
          <w:ilvl w:val="0"/>
          <w:numId w:val="29"/>
        </w:numPr>
        <w:ind w:left="721"/>
        <w:jc w:val="both"/>
        <w:rPr>
          <w:rStyle w:val="titleniv11"/>
          <w:color w:val="auto"/>
          <w:sz w:val="20"/>
          <w:szCs w:val="20"/>
        </w:rPr>
      </w:pPr>
      <w:r w:rsidRPr="00E642CB">
        <w:rPr>
          <w:rStyle w:val="titleniv11"/>
          <w:b w:val="0"/>
          <w:color w:val="auto"/>
          <w:sz w:val="20"/>
          <w:szCs w:val="20"/>
        </w:rPr>
        <w:t>A l’échéance de la lettre de change, le client (tiré) rembourse le montant nominal à sa banque. En cas de défaillance du tiré, la banque peut, sur la base de la lettre de change, faire valoir son droit de recours à l’égard du fournisseur (le tireur).</w:t>
      </w:r>
    </w:p>
    <w:p w14:paraId="0693B58F" w14:textId="77777777" w:rsidR="00E642CB" w:rsidRPr="0056383D" w:rsidRDefault="00E642CB" w:rsidP="001F7D23">
      <w:pPr>
        <w:pStyle w:val="Titre4"/>
        <w:rPr>
          <w:snapToGrid w:val="0"/>
        </w:rPr>
      </w:pPr>
      <w:bookmarkStart w:id="226" w:name="_Toc189380922"/>
      <w:r w:rsidRPr="0056383D">
        <w:rPr>
          <w:snapToGrid w:val="0"/>
        </w:rPr>
        <w:t>Crédit sur warrant</w:t>
      </w:r>
      <w:bookmarkEnd w:id="226"/>
      <w:r>
        <w:rPr>
          <w:snapToGrid w:val="0"/>
        </w:rPr>
        <w:t>-cédule</w:t>
      </w:r>
    </w:p>
    <w:p w14:paraId="0693B590" w14:textId="77777777" w:rsidR="00E642CB" w:rsidRPr="0056383D" w:rsidRDefault="00E642CB" w:rsidP="00D3604D">
      <w:pPr>
        <w:ind w:right="16"/>
        <w:jc w:val="both"/>
        <w:rPr>
          <w:snapToGrid w:val="0"/>
          <w:color w:val="000000"/>
        </w:rPr>
      </w:pPr>
      <w:r w:rsidRPr="0056383D">
        <w:rPr>
          <w:snapToGrid w:val="0"/>
          <w:color w:val="000000"/>
        </w:rPr>
        <w:t xml:space="preserve">Ce crédit est accordé sur présentation d’un warrant agréé par la S.A. Warrant. </w:t>
      </w:r>
      <w:r>
        <w:rPr>
          <w:snapToGrid w:val="0"/>
          <w:color w:val="000000"/>
        </w:rPr>
        <w:t>I</w:t>
      </w:r>
      <w:r w:rsidRPr="00243D36">
        <w:rPr>
          <w:snapToGrid w:val="0"/>
          <w:color w:val="000000"/>
        </w:rPr>
        <w:t xml:space="preserve">l s'agit d'un titre double, dont une partie (la cédule) confère à son porteur la propriété d'une marchandise et l'autre (le warrant) un droit de gage sur cette même marchandise. </w:t>
      </w:r>
      <w:r>
        <w:rPr>
          <w:snapToGrid w:val="0"/>
          <w:color w:val="000000"/>
        </w:rPr>
        <w:t>À ce titre double</w:t>
      </w:r>
      <w:r w:rsidRPr="00243D36">
        <w:rPr>
          <w:snapToGrid w:val="0"/>
          <w:color w:val="000000"/>
        </w:rPr>
        <w:t xml:space="preserve"> est associé un billet à ordre, qui sert d'instrument de crédit. Théoriquement, ces différents titres peuvent être séparés </w:t>
      </w:r>
      <w:r>
        <w:rPr>
          <w:snapToGrid w:val="0"/>
          <w:color w:val="000000"/>
        </w:rPr>
        <w:t>(</w:t>
      </w:r>
      <w:r w:rsidRPr="00243D36">
        <w:rPr>
          <w:snapToGrid w:val="0"/>
          <w:color w:val="000000"/>
        </w:rPr>
        <w:t>et l'étaient effectivement à l'origine de la technique</w:t>
      </w:r>
      <w:r>
        <w:rPr>
          <w:snapToGrid w:val="0"/>
          <w:color w:val="000000"/>
        </w:rPr>
        <w:t xml:space="preserve">), mais </w:t>
      </w:r>
      <w:r w:rsidRPr="00243D36">
        <w:rPr>
          <w:snapToGrid w:val="0"/>
          <w:color w:val="000000"/>
        </w:rPr>
        <w:t>en pratique ils restent réunis.</w:t>
      </w:r>
      <w:r>
        <w:rPr>
          <w:snapToGrid w:val="0"/>
          <w:color w:val="000000"/>
        </w:rPr>
        <w:t xml:space="preserve"> Le warrant-cédule est à</w:t>
      </w:r>
      <w:r w:rsidRPr="0056383D">
        <w:rPr>
          <w:snapToGrid w:val="0"/>
          <w:color w:val="000000"/>
        </w:rPr>
        <w:t xml:space="preserve"> ne pas confondre avec le warrant qui accompagne parfois une obligation – cf. partie relative au Marché des Capitaux)</w:t>
      </w:r>
    </w:p>
    <w:p w14:paraId="0693B591" w14:textId="77777777" w:rsidR="00E642CB" w:rsidRPr="0056383D" w:rsidRDefault="00E642CB" w:rsidP="00D3604D">
      <w:pPr>
        <w:ind w:right="16"/>
        <w:jc w:val="both"/>
        <w:rPr>
          <w:snapToGrid w:val="0"/>
          <w:color w:val="000000"/>
        </w:rPr>
      </w:pPr>
      <w:r w:rsidRPr="0056383D">
        <w:rPr>
          <w:snapToGrid w:val="0"/>
          <w:color w:val="000000"/>
        </w:rPr>
        <w:t xml:space="preserve">Le type de crédit auquel le demandeur peut recourir est le </w:t>
      </w:r>
      <w:r w:rsidRPr="0056383D">
        <w:rPr>
          <w:b/>
          <w:snapToGrid w:val="0"/>
          <w:color w:val="000000"/>
        </w:rPr>
        <w:t>crédit fonds de roulement</w:t>
      </w:r>
      <w:r w:rsidRPr="0056383D">
        <w:rPr>
          <w:snapToGrid w:val="0"/>
          <w:color w:val="000000"/>
        </w:rPr>
        <w:t xml:space="preserve">, ou le </w:t>
      </w:r>
      <w:r w:rsidRPr="0056383D">
        <w:rPr>
          <w:b/>
          <w:snapToGrid w:val="0"/>
          <w:color w:val="000000"/>
        </w:rPr>
        <w:t>crédit stock</w:t>
      </w:r>
      <w:r w:rsidRPr="0056383D">
        <w:rPr>
          <w:snapToGrid w:val="0"/>
          <w:color w:val="000000"/>
        </w:rPr>
        <w:t xml:space="preserve">, ou encore </w:t>
      </w:r>
      <w:r w:rsidRPr="0056383D">
        <w:rPr>
          <w:b/>
          <w:snapToGrid w:val="0"/>
          <w:color w:val="000000"/>
        </w:rPr>
        <w:t>le crédit import</w:t>
      </w:r>
      <w:r w:rsidRPr="0056383D">
        <w:rPr>
          <w:snapToGrid w:val="0"/>
          <w:color w:val="000000"/>
        </w:rPr>
        <w:t xml:space="preserve"> ou </w:t>
      </w:r>
      <w:r w:rsidRPr="0056383D">
        <w:rPr>
          <w:b/>
          <w:snapToGrid w:val="0"/>
          <w:color w:val="000000"/>
        </w:rPr>
        <w:t>export</w:t>
      </w:r>
      <w:r w:rsidRPr="0056383D">
        <w:rPr>
          <w:snapToGrid w:val="0"/>
          <w:color w:val="000000"/>
        </w:rPr>
        <w:t>.</w:t>
      </w:r>
    </w:p>
    <w:p w14:paraId="0693B592" w14:textId="77777777" w:rsidR="00E642CB" w:rsidRPr="0056383D" w:rsidRDefault="00E642CB" w:rsidP="001F7D23">
      <w:pPr>
        <w:pStyle w:val="Titre4"/>
        <w:rPr>
          <w:snapToGrid w:val="0"/>
        </w:rPr>
      </w:pPr>
      <w:bookmarkStart w:id="227" w:name="_Toc189380923"/>
      <w:r w:rsidRPr="0056383D">
        <w:rPr>
          <w:snapToGrid w:val="0"/>
        </w:rPr>
        <w:t>Crédit de fabrication</w:t>
      </w:r>
      <w:bookmarkEnd w:id="227"/>
    </w:p>
    <w:p w14:paraId="0693B593" w14:textId="77777777" w:rsidR="00E642CB" w:rsidRPr="0056383D" w:rsidRDefault="00E642CB" w:rsidP="00027A02">
      <w:pPr>
        <w:ind w:right="16"/>
        <w:jc w:val="both"/>
        <w:rPr>
          <w:snapToGrid w:val="0"/>
          <w:color w:val="000000"/>
        </w:rPr>
      </w:pPr>
      <w:r w:rsidRPr="0056383D">
        <w:rPr>
          <w:snapToGrid w:val="0"/>
          <w:color w:val="000000"/>
        </w:rPr>
        <w:t>Ce type de crédit, qui doit permettre de financer la fabrication de l’entreprise requérant le crédit, est garanti par des promesses remises à l’escompte au banquier, sous la forme de billets à ordre.</w:t>
      </w:r>
      <w:r>
        <w:rPr>
          <w:snapToGrid w:val="0"/>
          <w:color w:val="000000"/>
        </w:rPr>
        <w:t xml:space="preserve"> Taux appliqué : entre 3 et 8 %.</w:t>
      </w:r>
    </w:p>
    <w:p w14:paraId="0693B594" w14:textId="77777777" w:rsidR="00E642CB" w:rsidRPr="0056383D" w:rsidRDefault="00E642CB" w:rsidP="001F7D23">
      <w:pPr>
        <w:pStyle w:val="Titre4"/>
        <w:rPr>
          <w:snapToGrid w:val="0"/>
        </w:rPr>
      </w:pPr>
      <w:bookmarkStart w:id="228" w:name="_Toc189380924"/>
      <w:r w:rsidRPr="0056383D">
        <w:rPr>
          <w:snapToGrid w:val="0"/>
        </w:rPr>
        <w:t>Crédit “ factoring ”</w:t>
      </w:r>
      <w:bookmarkEnd w:id="228"/>
      <w:r>
        <w:rPr>
          <w:snapToGrid w:val="0"/>
        </w:rPr>
        <w:t xml:space="preserve"> (ou affacturage)</w:t>
      </w:r>
    </w:p>
    <w:p w14:paraId="0693B595" w14:textId="77777777" w:rsidR="00E642CB" w:rsidRPr="0056383D" w:rsidRDefault="00E642CB" w:rsidP="00027A02">
      <w:pPr>
        <w:ind w:right="16"/>
        <w:jc w:val="both"/>
        <w:rPr>
          <w:snapToGrid w:val="0"/>
          <w:color w:val="000000"/>
        </w:rPr>
      </w:pPr>
      <w:r w:rsidRPr="0056383D">
        <w:rPr>
          <w:snapToGrid w:val="0"/>
          <w:color w:val="000000"/>
        </w:rPr>
        <w:t>Le factoring est une technique par laquelle une société se libère, moyennant paiement, de toute la gestion de ses factures à une société spécialisée (le factor).</w:t>
      </w:r>
    </w:p>
    <w:p w14:paraId="0693B596" w14:textId="77777777" w:rsidR="00E642CB" w:rsidRPr="0056383D" w:rsidRDefault="00E642CB" w:rsidP="00027A02">
      <w:pPr>
        <w:ind w:right="16"/>
        <w:jc w:val="both"/>
        <w:rPr>
          <w:snapToGrid w:val="0"/>
          <w:color w:val="000000"/>
        </w:rPr>
      </w:pPr>
      <w:r w:rsidRPr="0056383D">
        <w:rPr>
          <w:snapToGrid w:val="0"/>
          <w:color w:val="000000"/>
        </w:rPr>
        <w:t>Non seulement libérée des problèmes de recouvrement de facture, cette société dispose en plus d’un crédit (le crédit factoring) immédiat accordé par le factor, à concurrence du montant de ses factures, déduction faite des agios et autres frais (un pourcentage est prélevé sur chaque facture traitée).</w:t>
      </w:r>
      <w:r>
        <w:rPr>
          <w:snapToGrid w:val="0"/>
          <w:color w:val="000000"/>
        </w:rPr>
        <w:t xml:space="preserve"> Taux appliqué : de l’ordre de 8 %.</w:t>
      </w:r>
    </w:p>
    <w:p w14:paraId="0693B597" w14:textId="77777777" w:rsidR="00E642CB" w:rsidRPr="0056383D" w:rsidRDefault="00E642CB" w:rsidP="001F7D23">
      <w:pPr>
        <w:pStyle w:val="Titre4"/>
        <w:rPr>
          <w:snapToGrid w:val="0"/>
        </w:rPr>
      </w:pPr>
      <w:bookmarkStart w:id="229" w:name="_Toc189380925"/>
      <w:r w:rsidRPr="0056383D">
        <w:rPr>
          <w:snapToGrid w:val="0"/>
        </w:rPr>
        <w:lastRenderedPageBreak/>
        <w:t>Crédit cautionnement</w:t>
      </w:r>
      <w:bookmarkEnd w:id="229"/>
    </w:p>
    <w:p w14:paraId="0693B598" w14:textId="77777777" w:rsidR="00E642CB" w:rsidRPr="0056383D" w:rsidRDefault="00E642CB" w:rsidP="00027A02">
      <w:pPr>
        <w:ind w:right="16"/>
        <w:jc w:val="both"/>
        <w:rPr>
          <w:snapToGrid w:val="0"/>
          <w:color w:val="000000"/>
        </w:rPr>
      </w:pPr>
      <w:r w:rsidRPr="0056383D">
        <w:rPr>
          <w:snapToGrid w:val="0"/>
          <w:color w:val="000000"/>
        </w:rPr>
        <w:t>(Revoir le cours de Droit Civil pour la définition de la caution</w:t>
      </w:r>
      <w:r w:rsidR="0041495B" w:rsidRPr="0056383D">
        <w:rPr>
          <w:snapToGrid w:val="0"/>
          <w:color w:val="000000"/>
        </w:rPr>
        <w:fldChar w:fldCharType="begin"/>
      </w:r>
      <w:r w:rsidRPr="0056383D">
        <w:rPr>
          <w:snapToGrid w:val="0"/>
          <w:color w:val="000000"/>
        </w:rPr>
        <w:instrText xml:space="preserve"> XE "</w:instrText>
      </w:r>
      <w:r w:rsidRPr="0056383D">
        <w:instrText>caution"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w:t>
      </w:r>
    </w:p>
    <w:p w14:paraId="0693B599" w14:textId="77777777" w:rsidR="00E642CB" w:rsidRPr="0056383D" w:rsidRDefault="00E642CB" w:rsidP="00027A02">
      <w:pPr>
        <w:ind w:right="16"/>
        <w:jc w:val="both"/>
        <w:rPr>
          <w:snapToGrid w:val="0"/>
          <w:color w:val="000000"/>
        </w:rPr>
      </w:pPr>
      <w:r w:rsidRPr="0056383D">
        <w:rPr>
          <w:snapToGrid w:val="0"/>
          <w:color w:val="000000"/>
        </w:rPr>
        <w:t>La garantie du prêt étant ici représentée par la caution</w:t>
      </w:r>
      <w:r w:rsidR="0041495B" w:rsidRPr="0056383D">
        <w:rPr>
          <w:snapToGrid w:val="0"/>
          <w:color w:val="000000"/>
        </w:rPr>
        <w:fldChar w:fldCharType="begin"/>
      </w:r>
      <w:r w:rsidRPr="0056383D">
        <w:rPr>
          <w:snapToGrid w:val="0"/>
          <w:color w:val="000000"/>
        </w:rPr>
        <w:instrText xml:space="preserve"> XE "</w:instrText>
      </w:r>
      <w:r w:rsidRPr="0056383D">
        <w:instrText>caution"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la banque s’engage à payer le montant qui fait l’objet de la caution au créancier.</w:t>
      </w:r>
    </w:p>
    <w:p w14:paraId="0693B59A" w14:textId="77777777" w:rsidR="00E642CB" w:rsidRPr="0056383D" w:rsidRDefault="00E642CB" w:rsidP="00027A02">
      <w:pPr>
        <w:ind w:right="16"/>
        <w:jc w:val="both"/>
        <w:rPr>
          <w:snapToGrid w:val="0"/>
          <w:color w:val="000000"/>
        </w:rPr>
      </w:pPr>
      <w:r w:rsidRPr="0056383D">
        <w:rPr>
          <w:snapToGrid w:val="0"/>
          <w:color w:val="000000"/>
        </w:rPr>
        <w:t>Le taux est généralement de 1 %. Pourquoi si peu ? Parce que la banque ne doit pas mobiliser de fonds pour ce type de crédit, puisque les sommes sont payées soit par le débiteur, soit par la caution</w:t>
      </w:r>
      <w:r w:rsidR="0041495B" w:rsidRPr="0056383D">
        <w:rPr>
          <w:snapToGrid w:val="0"/>
          <w:color w:val="000000"/>
        </w:rPr>
        <w:fldChar w:fldCharType="begin"/>
      </w:r>
      <w:r w:rsidRPr="0056383D">
        <w:rPr>
          <w:snapToGrid w:val="0"/>
          <w:color w:val="000000"/>
        </w:rPr>
        <w:instrText xml:space="preserve"> XE "</w:instrText>
      </w:r>
      <w:r w:rsidRPr="0056383D">
        <w:instrText>caution"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si le débiteur fait défaut.</w:t>
      </w:r>
    </w:p>
    <w:p w14:paraId="0693B59B" w14:textId="77777777" w:rsidR="00E642CB" w:rsidRPr="0056383D" w:rsidRDefault="00E642CB" w:rsidP="001F7D23">
      <w:pPr>
        <w:pStyle w:val="Titre4"/>
        <w:rPr>
          <w:snapToGrid w:val="0"/>
        </w:rPr>
      </w:pPr>
      <w:bookmarkStart w:id="230" w:name="_Toc189380926"/>
      <w:r w:rsidRPr="0056383D">
        <w:rPr>
          <w:snapToGrid w:val="0"/>
        </w:rPr>
        <w:t>Micro-crédits</w:t>
      </w:r>
      <w:r w:rsidRPr="0056383D">
        <w:rPr>
          <w:rStyle w:val="Appelnotedebasdep"/>
          <w:b w:val="0"/>
          <w:snapToGrid w:val="0"/>
          <w:color w:val="000000"/>
        </w:rPr>
        <w:footnoteReference w:id="23"/>
      </w:r>
      <w:r w:rsidRPr="0056383D">
        <w:rPr>
          <w:snapToGrid w:val="0"/>
        </w:rPr>
        <w:t xml:space="preserve"> aux (très) petites entreprises</w:t>
      </w:r>
      <w:r w:rsidRPr="0056383D">
        <w:rPr>
          <w:rStyle w:val="Appelnotedebasdep"/>
          <w:b w:val="0"/>
          <w:snapToGrid w:val="0"/>
          <w:color w:val="000000"/>
        </w:rPr>
        <w:footnoteReference w:id="24"/>
      </w:r>
      <w:bookmarkEnd w:id="230"/>
    </w:p>
    <w:p w14:paraId="0693B59C" w14:textId="77777777" w:rsidR="00E642CB" w:rsidRPr="0056383D" w:rsidRDefault="00E642CB" w:rsidP="00027A02">
      <w:pPr>
        <w:ind w:right="16"/>
        <w:jc w:val="both"/>
        <w:rPr>
          <w:snapToGrid w:val="0"/>
          <w:color w:val="000000"/>
        </w:rPr>
      </w:pPr>
      <w:r w:rsidRPr="0056383D">
        <w:rPr>
          <w:snapToGrid w:val="0"/>
          <w:color w:val="000000"/>
        </w:rPr>
        <w:t>Ce type de crédit est apparu le 1</w:t>
      </w:r>
      <w:r w:rsidRPr="0056383D">
        <w:rPr>
          <w:snapToGrid w:val="0"/>
          <w:color w:val="000000"/>
          <w:vertAlign w:val="superscript"/>
        </w:rPr>
        <w:t>er</w:t>
      </w:r>
      <w:r w:rsidRPr="0056383D">
        <w:rPr>
          <w:snapToGrid w:val="0"/>
          <w:color w:val="000000"/>
        </w:rPr>
        <w:t xml:space="preserve"> mai 2005. Le montant maximum emprunté est de 25 000 €.</w:t>
      </w:r>
    </w:p>
    <w:p w14:paraId="0693B59D" w14:textId="77777777" w:rsidR="00E642CB" w:rsidRPr="0056383D" w:rsidRDefault="00E642CB" w:rsidP="00E101C5">
      <w:pPr>
        <w:pStyle w:val="Titre3"/>
        <w:rPr>
          <w:snapToGrid w:val="0"/>
        </w:rPr>
      </w:pPr>
      <w:bookmarkStart w:id="231" w:name="_Toc189380927"/>
      <w:bookmarkStart w:id="232" w:name="_Toc482815607"/>
      <w:r w:rsidRPr="0056383D">
        <w:rPr>
          <w:snapToGrid w:val="0"/>
        </w:rPr>
        <w:t>Crédits destinés au commerce extérieur</w:t>
      </w:r>
      <w:bookmarkEnd w:id="231"/>
      <w:bookmarkEnd w:id="232"/>
      <w:r w:rsidR="0041495B">
        <w:rPr>
          <w:snapToGrid w:val="0"/>
        </w:rPr>
        <w:fldChar w:fldCharType="begin"/>
      </w:r>
      <w:r>
        <w:instrText xml:space="preserve"> TC "</w:instrText>
      </w:r>
      <w:bookmarkStart w:id="233" w:name="_Toc189382516"/>
      <w:bookmarkStart w:id="234" w:name="_Toc189382907"/>
      <w:bookmarkStart w:id="235" w:name="_Toc189383121"/>
      <w:bookmarkStart w:id="236" w:name="_Toc189383214"/>
      <w:bookmarkStart w:id="237" w:name="_Toc192996381"/>
      <w:bookmarkStart w:id="238" w:name="_Toc279042802"/>
      <w:r w:rsidRPr="003C0E2B">
        <w:rPr>
          <w:snapToGrid w:val="0"/>
        </w:rPr>
        <w:instrText>Crédits destinés au commerce extérieur</w:instrText>
      </w:r>
      <w:bookmarkEnd w:id="233"/>
      <w:bookmarkEnd w:id="234"/>
      <w:bookmarkEnd w:id="235"/>
      <w:bookmarkEnd w:id="236"/>
      <w:bookmarkEnd w:id="237"/>
      <w:bookmarkEnd w:id="238"/>
      <w:r>
        <w:instrText xml:space="preserve">" \f C \l "4" </w:instrText>
      </w:r>
      <w:r w:rsidR="0041495B">
        <w:rPr>
          <w:snapToGrid w:val="0"/>
        </w:rPr>
        <w:fldChar w:fldCharType="end"/>
      </w:r>
    </w:p>
    <w:p w14:paraId="0693B59E" w14:textId="77777777" w:rsidR="00E642CB" w:rsidRPr="0056383D" w:rsidRDefault="00E642CB" w:rsidP="001F7D23">
      <w:pPr>
        <w:pStyle w:val="Titre4"/>
        <w:rPr>
          <w:snapToGrid w:val="0"/>
        </w:rPr>
      </w:pPr>
      <w:bookmarkStart w:id="239" w:name="_Toc189380928"/>
      <w:r w:rsidRPr="0056383D">
        <w:rPr>
          <w:snapToGrid w:val="0"/>
        </w:rPr>
        <w:t>Crédit d’acceptation</w:t>
      </w:r>
      <w:bookmarkEnd w:id="239"/>
      <w:r w:rsidR="0041495B" w:rsidRPr="0056383D">
        <w:rPr>
          <w:snapToGrid w:val="0"/>
        </w:rPr>
        <w:fldChar w:fldCharType="begin"/>
      </w:r>
      <w:r w:rsidRPr="0056383D">
        <w:rPr>
          <w:snapToGrid w:val="0"/>
        </w:rPr>
        <w:instrText xml:space="preserve"> XE "</w:instrText>
      </w:r>
      <w:r w:rsidRPr="0056383D">
        <w:instrText>Crédit d’acceptation"</w:instrText>
      </w:r>
      <w:r w:rsidRPr="0056383D">
        <w:rPr>
          <w:snapToGrid w:val="0"/>
        </w:rPr>
        <w:instrText xml:space="preserve"> </w:instrText>
      </w:r>
      <w:r w:rsidR="0041495B" w:rsidRPr="0056383D">
        <w:rPr>
          <w:snapToGrid w:val="0"/>
        </w:rPr>
        <w:fldChar w:fldCharType="end"/>
      </w:r>
    </w:p>
    <w:p w14:paraId="0693B59F" w14:textId="77777777" w:rsidR="00E642CB" w:rsidRPr="0056383D" w:rsidRDefault="00E642CB" w:rsidP="00027A02">
      <w:pPr>
        <w:ind w:right="16"/>
        <w:jc w:val="both"/>
        <w:rPr>
          <w:snapToGrid w:val="0"/>
          <w:color w:val="000000"/>
        </w:rPr>
      </w:pPr>
      <w:r w:rsidRPr="0056383D">
        <w:rPr>
          <w:snapToGrid w:val="0"/>
          <w:color w:val="000000"/>
        </w:rPr>
        <w:t>Une acceptation est une lettre de change, un</w:t>
      </w:r>
      <w:r>
        <w:rPr>
          <w:snapToGrid w:val="0"/>
          <w:color w:val="000000"/>
        </w:rPr>
        <w:t>e</w:t>
      </w:r>
      <w:r w:rsidRPr="0056383D">
        <w:rPr>
          <w:snapToGrid w:val="0"/>
          <w:color w:val="000000"/>
        </w:rPr>
        <w:t xml:space="preserve"> traite (appelée même </w:t>
      </w:r>
      <w:r w:rsidRPr="0056383D">
        <w:rPr>
          <w:i/>
          <w:snapToGrid w:val="0"/>
          <w:color w:val="000000"/>
        </w:rPr>
        <w:t>traite bleue</w:t>
      </w:r>
      <w:r w:rsidRPr="0056383D">
        <w:rPr>
          <w:snapToGrid w:val="0"/>
          <w:color w:val="000000"/>
        </w:rPr>
        <w:t xml:space="preserve"> dans le cas ou le tiré est une banque), tirée sur une banque et acceptée par celle-ci.</w:t>
      </w:r>
      <w:r>
        <w:rPr>
          <w:snapToGrid w:val="0"/>
          <w:color w:val="000000"/>
        </w:rPr>
        <w:t xml:space="preserve"> Le taux avoisine les 8 %.</w:t>
      </w:r>
    </w:p>
    <w:p w14:paraId="0693B5A0" w14:textId="77777777" w:rsidR="00E642CB" w:rsidRPr="0056383D" w:rsidRDefault="00E642CB" w:rsidP="00027A02">
      <w:pPr>
        <w:ind w:right="16"/>
        <w:jc w:val="both"/>
        <w:rPr>
          <w:snapToGrid w:val="0"/>
          <w:color w:val="000000"/>
        </w:rPr>
      </w:pPr>
      <w:r w:rsidRPr="0056383D">
        <w:rPr>
          <w:snapToGrid w:val="0"/>
          <w:color w:val="000000"/>
        </w:rPr>
        <w:t>Étant donné la garantie de bonne fin</w:t>
      </w:r>
      <w:r w:rsidR="0041495B" w:rsidRPr="0056383D">
        <w:rPr>
          <w:snapToGrid w:val="0"/>
          <w:color w:val="000000"/>
        </w:rPr>
        <w:fldChar w:fldCharType="begin"/>
      </w:r>
      <w:r w:rsidRPr="0056383D">
        <w:rPr>
          <w:snapToGrid w:val="0"/>
          <w:color w:val="000000"/>
        </w:rPr>
        <w:instrText xml:space="preserve"> XE "</w:instrText>
      </w:r>
      <w:r w:rsidRPr="0056383D">
        <w:instrText>garantie de bonne fin"</w:instrText>
      </w:r>
      <w:r w:rsidRPr="0056383D">
        <w:rPr>
          <w:snapToGrid w:val="0"/>
          <w:color w:val="000000"/>
        </w:rPr>
        <w:instrText xml:space="preserve"> </w:instrText>
      </w:r>
      <w:r w:rsidR="0041495B" w:rsidRPr="0056383D">
        <w:rPr>
          <w:snapToGrid w:val="0"/>
          <w:color w:val="000000"/>
        </w:rPr>
        <w:fldChar w:fldCharType="end"/>
      </w:r>
      <w:r w:rsidRPr="0056383D">
        <w:rPr>
          <w:snapToGrid w:val="0"/>
          <w:color w:val="000000"/>
        </w:rPr>
        <w:t xml:space="preserve"> représentée par la signature de la banque, l’acceptation donne droit à un crédit avantageux.</w:t>
      </w:r>
    </w:p>
    <w:p w14:paraId="0693B5A1" w14:textId="77777777" w:rsidR="00E642CB" w:rsidRDefault="00E642CB" w:rsidP="00027A02">
      <w:pPr>
        <w:ind w:right="16"/>
        <w:jc w:val="both"/>
        <w:rPr>
          <w:snapToGrid w:val="0"/>
          <w:color w:val="000000"/>
        </w:rPr>
      </w:pPr>
      <w:r w:rsidRPr="0056383D">
        <w:rPr>
          <w:snapToGrid w:val="0"/>
          <w:color w:val="000000"/>
        </w:rPr>
        <w:t>Le coût d’un tel type de crédit est proche de celui du crédit d’escompte.</w:t>
      </w:r>
    </w:p>
    <w:p w14:paraId="0693B5A2" w14:textId="77777777" w:rsidR="00E642CB" w:rsidRDefault="00E642CB" w:rsidP="00027A02">
      <w:pPr>
        <w:ind w:right="16"/>
        <w:jc w:val="both"/>
        <w:rPr>
          <w:snapToGrid w:val="0"/>
          <w:color w:val="000000"/>
        </w:rPr>
      </w:pPr>
      <w:r>
        <w:rPr>
          <w:snapToGrid w:val="0"/>
          <w:color w:val="000000"/>
        </w:rPr>
        <w:t>La technique du crédit d’acceptation est très similaire à celle du crédit d’escompte, à la différence près que le tiré est ici la banque du client. Il y a donc deux types de crédit d’acceptation : le crédit d’acceptation export (cf. escompte cédant) et le crédit d’acceptation import (cf. escompte fournisseur).</w:t>
      </w:r>
    </w:p>
    <w:p w14:paraId="0693B5A3" w14:textId="77777777" w:rsidR="00E642CB" w:rsidRDefault="00E642CB" w:rsidP="00027A02">
      <w:pPr>
        <w:ind w:right="16"/>
        <w:jc w:val="both"/>
        <w:rPr>
          <w:snapToGrid w:val="0"/>
          <w:color w:val="000000"/>
        </w:rPr>
      </w:pPr>
      <w:r>
        <w:rPr>
          <w:snapToGrid w:val="0"/>
          <w:color w:val="000000"/>
        </w:rPr>
        <w:t>Voir schémas ci-dessous.</w:t>
      </w:r>
    </w:p>
    <w:p w14:paraId="0693B5A4" w14:textId="77777777" w:rsidR="00E642CB" w:rsidRPr="0056383D" w:rsidRDefault="00FB0892" w:rsidP="00E642CB">
      <w:pPr>
        <w:ind w:left="1418" w:right="16"/>
        <w:jc w:val="both"/>
        <w:rPr>
          <w:snapToGrid w:val="0"/>
          <w:color w:val="000000"/>
        </w:rPr>
      </w:pPr>
      <w:r>
        <w:rPr>
          <w:noProof/>
          <w:color w:val="000000"/>
          <w:lang w:eastAsia="fr-BE"/>
        </w:rPr>
        <w:lastRenderedPageBreak/>
        <w:drawing>
          <wp:inline distT="0" distB="0" distL="0" distR="0" wp14:anchorId="0693BAE2" wp14:editId="0693BAE3">
            <wp:extent cx="3981450" cy="5619750"/>
            <wp:effectExtent l="0" t="0" r="0" b="0"/>
            <wp:docPr id="17" name="Image 17" descr="acce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cepta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1450" cy="5619750"/>
                    </a:xfrm>
                    <a:prstGeom prst="rect">
                      <a:avLst/>
                    </a:prstGeom>
                    <a:noFill/>
                    <a:ln>
                      <a:noFill/>
                    </a:ln>
                  </pic:spPr>
                </pic:pic>
              </a:graphicData>
            </a:graphic>
          </wp:inline>
        </w:drawing>
      </w:r>
    </w:p>
    <w:p w14:paraId="0693B5A5" w14:textId="77777777" w:rsidR="00E642CB" w:rsidRPr="0056383D" w:rsidRDefault="00E642CB" w:rsidP="001F7D23">
      <w:pPr>
        <w:pStyle w:val="Titre4"/>
        <w:rPr>
          <w:snapToGrid w:val="0"/>
        </w:rPr>
      </w:pPr>
      <w:bookmarkStart w:id="240" w:name="_Toc189380929"/>
      <w:r w:rsidRPr="0056383D">
        <w:rPr>
          <w:snapToGrid w:val="0"/>
        </w:rPr>
        <w:t>Crédit documentaire</w:t>
      </w:r>
      <w:r>
        <w:rPr>
          <w:rStyle w:val="Appelnotedebasdep"/>
          <w:b w:val="0"/>
          <w:snapToGrid w:val="0"/>
          <w:color w:val="000000"/>
        </w:rPr>
        <w:footnoteReference w:id="25"/>
      </w:r>
      <w:r w:rsidRPr="0056383D">
        <w:rPr>
          <w:snapToGrid w:val="0"/>
        </w:rPr>
        <w:t xml:space="preserve"> (crédoc)</w:t>
      </w:r>
      <w:bookmarkEnd w:id="240"/>
    </w:p>
    <w:p w14:paraId="0693B5A6" w14:textId="77777777" w:rsidR="00E642CB" w:rsidRPr="00892575" w:rsidRDefault="00E642CB" w:rsidP="00027A02">
      <w:pPr>
        <w:spacing w:before="240"/>
        <w:ind w:right="17"/>
        <w:jc w:val="both"/>
        <w:rPr>
          <w:snapToGrid w:val="0"/>
          <w:color w:val="000000"/>
        </w:rPr>
      </w:pPr>
      <w:r w:rsidRPr="00892575">
        <w:rPr>
          <w:snapToGrid w:val="0"/>
          <w:color w:val="000000"/>
        </w:rPr>
        <w:t xml:space="preserve">Le crédit documentaire est un engagement écrit pris par une banque à la demande de votre acheteur ou de vous-même lorsque vous agissez à l'import, de vous payer ou de payer un montant déterminé contre remise, dans un délai fixé, des documents conformes prévus dans l'ouverture du crédit documentaire. </w:t>
      </w:r>
    </w:p>
    <w:p w14:paraId="0693B5A7" w14:textId="77777777" w:rsidR="00E642CB" w:rsidRPr="00892575" w:rsidRDefault="00E642CB" w:rsidP="00027A02">
      <w:pPr>
        <w:ind w:right="16"/>
        <w:jc w:val="both"/>
        <w:rPr>
          <w:snapToGrid w:val="0"/>
          <w:color w:val="000000"/>
        </w:rPr>
      </w:pPr>
      <w:r w:rsidRPr="00892575">
        <w:rPr>
          <w:snapToGrid w:val="0"/>
          <w:color w:val="000000"/>
        </w:rPr>
        <w:t xml:space="preserve">La différence essentielle entre la remise documentaire et le crédit documentaire réside dans le fait que la remise documentaire ne comporte aucun engagement de paiement d'une ou plusieurs banques. </w:t>
      </w:r>
    </w:p>
    <w:p w14:paraId="0693B5A8" w14:textId="77777777" w:rsidR="00E642CB" w:rsidRPr="00892575" w:rsidRDefault="00E642CB" w:rsidP="00027A02">
      <w:pPr>
        <w:spacing w:before="240"/>
        <w:ind w:right="17"/>
        <w:jc w:val="both"/>
        <w:rPr>
          <w:snapToGrid w:val="0"/>
          <w:color w:val="000000"/>
        </w:rPr>
      </w:pPr>
      <w:r w:rsidRPr="00892575">
        <w:rPr>
          <w:snapToGrid w:val="0"/>
          <w:color w:val="000000"/>
        </w:rPr>
        <w:t xml:space="preserve">Le crédit documentaire fait intervenir quatre participants : </w:t>
      </w:r>
    </w:p>
    <w:p w14:paraId="0693B5A9" w14:textId="77777777" w:rsidR="00E642CB" w:rsidRPr="00892575" w:rsidRDefault="00E642CB" w:rsidP="00027A02">
      <w:pPr>
        <w:numPr>
          <w:ilvl w:val="0"/>
          <w:numId w:val="26"/>
        </w:numPr>
        <w:tabs>
          <w:tab w:val="clear" w:pos="1778"/>
          <w:tab w:val="num" w:pos="360"/>
        </w:tabs>
        <w:ind w:left="360" w:right="16"/>
        <w:jc w:val="both"/>
        <w:rPr>
          <w:snapToGrid w:val="0"/>
          <w:color w:val="000000"/>
        </w:rPr>
      </w:pPr>
      <w:r w:rsidRPr="00892575">
        <w:rPr>
          <w:snapToGrid w:val="0"/>
          <w:color w:val="000000"/>
        </w:rPr>
        <w:t>l'acheteur, ou donneur d'ordre,</w:t>
      </w:r>
    </w:p>
    <w:p w14:paraId="0693B5AA" w14:textId="77777777" w:rsidR="00E642CB" w:rsidRPr="00892575" w:rsidRDefault="00E642CB" w:rsidP="00027A02">
      <w:pPr>
        <w:numPr>
          <w:ilvl w:val="0"/>
          <w:numId w:val="26"/>
        </w:numPr>
        <w:tabs>
          <w:tab w:val="clear" w:pos="1778"/>
          <w:tab w:val="num" w:pos="360"/>
        </w:tabs>
        <w:ind w:left="360" w:right="16"/>
        <w:jc w:val="both"/>
        <w:rPr>
          <w:snapToGrid w:val="0"/>
          <w:color w:val="000000"/>
        </w:rPr>
      </w:pPr>
      <w:r w:rsidRPr="00892575">
        <w:rPr>
          <w:snapToGrid w:val="0"/>
          <w:color w:val="000000"/>
        </w:rPr>
        <w:t xml:space="preserve">la banque émettrice, banque de l'acheteur, </w:t>
      </w:r>
    </w:p>
    <w:p w14:paraId="0693B5AB" w14:textId="77777777" w:rsidR="00E642CB" w:rsidRPr="00892575" w:rsidRDefault="00E642CB" w:rsidP="00027A02">
      <w:pPr>
        <w:numPr>
          <w:ilvl w:val="0"/>
          <w:numId w:val="26"/>
        </w:numPr>
        <w:tabs>
          <w:tab w:val="clear" w:pos="1778"/>
          <w:tab w:val="num" w:pos="360"/>
        </w:tabs>
        <w:ind w:left="360" w:right="16"/>
        <w:jc w:val="both"/>
        <w:rPr>
          <w:snapToGrid w:val="0"/>
          <w:color w:val="000000"/>
        </w:rPr>
      </w:pPr>
      <w:r w:rsidRPr="00892575">
        <w:rPr>
          <w:snapToGrid w:val="0"/>
          <w:color w:val="000000"/>
        </w:rPr>
        <w:t xml:space="preserve">la banque notificatrice, généralement banque du vendeur, </w:t>
      </w:r>
    </w:p>
    <w:p w14:paraId="0693B5AC" w14:textId="77777777" w:rsidR="00E642CB" w:rsidRPr="00892575" w:rsidRDefault="00E642CB" w:rsidP="00027A02">
      <w:pPr>
        <w:numPr>
          <w:ilvl w:val="0"/>
          <w:numId w:val="26"/>
        </w:numPr>
        <w:tabs>
          <w:tab w:val="clear" w:pos="1778"/>
          <w:tab w:val="num" w:pos="360"/>
        </w:tabs>
        <w:ind w:left="360" w:right="16"/>
        <w:jc w:val="both"/>
        <w:rPr>
          <w:snapToGrid w:val="0"/>
          <w:color w:val="000000"/>
        </w:rPr>
      </w:pPr>
      <w:r w:rsidRPr="00892575">
        <w:rPr>
          <w:snapToGrid w:val="0"/>
          <w:color w:val="000000"/>
        </w:rPr>
        <w:t xml:space="preserve">le vendeur, ou bénéficiaire. </w:t>
      </w:r>
    </w:p>
    <w:p w14:paraId="0693B5AD" w14:textId="77777777" w:rsidR="00E642CB" w:rsidRPr="00892575" w:rsidRDefault="00E642CB" w:rsidP="00027A02">
      <w:pPr>
        <w:spacing w:before="240"/>
        <w:ind w:right="17"/>
        <w:jc w:val="both"/>
        <w:rPr>
          <w:snapToGrid w:val="0"/>
          <w:color w:val="000000"/>
        </w:rPr>
      </w:pPr>
      <w:r w:rsidRPr="00892575">
        <w:rPr>
          <w:snapToGrid w:val="0"/>
          <w:color w:val="000000"/>
        </w:rPr>
        <w:lastRenderedPageBreak/>
        <w:t xml:space="preserve">Cette </w:t>
      </w:r>
      <w:r>
        <w:rPr>
          <w:snapToGrid w:val="0"/>
          <w:color w:val="000000"/>
        </w:rPr>
        <w:t>t</w:t>
      </w:r>
      <w:r w:rsidRPr="00892575">
        <w:rPr>
          <w:snapToGrid w:val="0"/>
          <w:color w:val="000000"/>
        </w:rPr>
        <w:t xml:space="preserve">echnique occupe une place de choix parmi les paiements internationaux. </w:t>
      </w:r>
      <w:r>
        <w:rPr>
          <w:snapToGrid w:val="0"/>
          <w:color w:val="000000"/>
        </w:rPr>
        <w:t>Elle</w:t>
      </w:r>
      <w:r w:rsidRPr="00892575">
        <w:rPr>
          <w:snapToGrid w:val="0"/>
          <w:color w:val="000000"/>
        </w:rPr>
        <w:t xml:space="preserve"> offre la meilleure sécurité et sa mise en œuvre répond à des règles uniformes dans tous les pays - règles précisées dans la brochure N° 500 de la Chambre de Commerce Internationale, applicables depuis le 1er janvier 1994.</w:t>
      </w:r>
    </w:p>
    <w:p w14:paraId="0693B5AE" w14:textId="77777777" w:rsidR="00E642CB" w:rsidRPr="00892575" w:rsidRDefault="00E642CB" w:rsidP="00027A02">
      <w:pPr>
        <w:spacing w:before="240"/>
        <w:ind w:right="17"/>
        <w:jc w:val="both"/>
        <w:rPr>
          <w:i/>
          <w:snapToGrid w:val="0"/>
          <w:color w:val="000000"/>
        </w:rPr>
      </w:pPr>
      <w:r w:rsidRPr="00892575">
        <w:rPr>
          <w:i/>
          <w:snapToGrid w:val="0"/>
          <w:color w:val="000000"/>
        </w:rPr>
        <w:t>Les principaux type</w:t>
      </w:r>
      <w:r>
        <w:rPr>
          <w:i/>
          <w:snapToGrid w:val="0"/>
          <w:color w:val="000000"/>
        </w:rPr>
        <w:t>s</w:t>
      </w:r>
      <w:r w:rsidRPr="00892575">
        <w:rPr>
          <w:i/>
          <w:snapToGrid w:val="0"/>
          <w:color w:val="000000"/>
        </w:rPr>
        <w:t xml:space="preserve"> de crédits documentaires</w:t>
      </w:r>
    </w:p>
    <w:p w14:paraId="0693B5AF"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L</w:t>
      </w:r>
      <w:r w:rsidRPr="00892575">
        <w:rPr>
          <w:snapToGrid w:val="0"/>
          <w:color w:val="000000"/>
        </w:rPr>
        <w:t xml:space="preserve">e crédit documentaire révocable permet à la banque émettrice de le modifier ou </w:t>
      </w:r>
      <w:r>
        <w:rPr>
          <w:snapToGrid w:val="0"/>
          <w:color w:val="000000"/>
        </w:rPr>
        <w:t xml:space="preserve">de </w:t>
      </w:r>
      <w:r w:rsidRPr="00892575">
        <w:rPr>
          <w:snapToGrid w:val="0"/>
          <w:color w:val="000000"/>
        </w:rPr>
        <w:t xml:space="preserve">l'annuler à son gré sans avoir à aviser préalablement le bénéficiaire. C'est une formule très peu utilisée. </w:t>
      </w:r>
    </w:p>
    <w:p w14:paraId="0693B5B0"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Le c</w:t>
      </w:r>
      <w:r w:rsidRPr="00892575">
        <w:rPr>
          <w:snapToGrid w:val="0"/>
          <w:color w:val="000000"/>
        </w:rPr>
        <w:t xml:space="preserve">rédit documentaire irrévocable comporte un engagement ferme donné en faveur du vendeur par la banque émettrice agissant sur instruction de l'acheteur d'exécuter le paiement sous la réserve de la remise des documents conformes. Il ne peut être annulé ou modifié sans l'accord de toutes les parties intéressées. </w:t>
      </w:r>
    </w:p>
    <w:p w14:paraId="0693B5B1"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L</w:t>
      </w:r>
      <w:r w:rsidRPr="00892575">
        <w:rPr>
          <w:snapToGrid w:val="0"/>
          <w:color w:val="000000"/>
        </w:rPr>
        <w:t xml:space="preserve">e crédit documentaire irrévocable et confirmé ajoute à l'engagement de la banque émettrice celui de votre propre banque (confirmation). </w:t>
      </w:r>
    </w:p>
    <w:p w14:paraId="0693B5B2" w14:textId="77777777" w:rsidR="00E642CB" w:rsidRPr="00892575" w:rsidRDefault="00E642CB" w:rsidP="00027A02">
      <w:pPr>
        <w:spacing w:before="240"/>
        <w:ind w:right="17"/>
        <w:jc w:val="both"/>
        <w:rPr>
          <w:i/>
          <w:snapToGrid w:val="0"/>
          <w:color w:val="000000"/>
        </w:rPr>
      </w:pPr>
      <w:r w:rsidRPr="00892575">
        <w:rPr>
          <w:i/>
          <w:snapToGrid w:val="0"/>
          <w:color w:val="000000"/>
        </w:rPr>
        <w:t>Les différents modes de réalisation du crédit documentaire</w:t>
      </w:r>
    </w:p>
    <w:p w14:paraId="0693B5B3"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P</w:t>
      </w:r>
      <w:r w:rsidRPr="00892575">
        <w:rPr>
          <w:snapToGrid w:val="0"/>
          <w:color w:val="000000"/>
        </w:rPr>
        <w:t xml:space="preserve">ar paiement à vue : la banque émettrice paye les documents réguliers dès leur présentation par l'acheteur. </w:t>
      </w:r>
    </w:p>
    <w:p w14:paraId="0693B5B4"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P</w:t>
      </w:r>
      <w:r w:rsidRPr="00892575">
        <w:rPr>
          <w:snapToGrid w:val="0"/>
          <w:color w:val="000000"/>
        </w:rPr>
        <w:t xml:space="preserve">ar paiement différé : dans ce cas la banque émettrice paye les documents conformes au terme d'un certain délai (par exemple 90 jours). Le délai n'est pas matérialisé par une traite mais le vendeur dispose de l'engagement de paiement à l'échéance de la banque émettrice et éventuellement de la banque confirmatrice. </w:t>
      </w:r>
    </w:p>
    <w:p w14:paraId="0693B5B5"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P</w:t>
      </w:r>
      <w:r w:rsidRPr="00892575">
        <w:rPr>
          <w:snapToGrid w:val="0"/>
          <w:color w:val="000000"/>
        </w:rPr>
        <w:t xml:space="preserve">ar acceptation : il s'agit d'un paiement différé avec émission d'un effet soit sur la banque émettrice, soit sur la banque confirmatrice, soit sur une banque tierce. Le bénéficiaire peut demander l'escompte de cet effet auprès de sa banque. </w:t>
      </w:r>
    </w:p>
    <w:p w14:paraId="0693B5B6"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P</w:t>
      </w:r>
      <w:r w:rsidRPr="00892575">
        <w:rPr>
          <w:snapToGrid w:val="0"/>
          <w:color w:val="000000"/>
        </w:rPr>
        <w:t xml:space="preserve">ar négociation : permet le paiement "d'avance" par la banque négociatrice des documents. La banque émettrice, à réception des documents, paiera la banque négociatrice. </w:t>
      </w:r>
    </w:p>
    <w:p w14:paraId="0693B5B7" w14:textId="77777777" w:rsidR="00E642CB" w:rsidRPr="00257CB1" w:rsidRDefault="00E642CB" w:rsidP="00027A02">
      <w:pPr>
        <w:spacing w:before="240"/>
        <w:ind w:right="17"/>
        <w:jc w:val="both"/>
        <w:rPr>
          <w:i/>
          <w:snapToGrid w:val="0"/>
          <w:color w:val="000000"/>
        </w:rPr>
      </w:pPr>
      <w:r w:rsidRPr="00257CB1">
        <w:rPr>
          <w:i/>
          <w:snapToGrid w:val="0"/>
          <w:color w:val="000000"/>
        </w:rPr>
        <w:t xml:space="preserve">Les crédits documentaires spéciaux </w:t>
      </w:r>
    </w:p>
    <w:p w14:paraId="0693B5B8"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L</w:t>
      </w:r>
      <w:r w:rsidRPr="00892575">
        <w:rPr>
          <w:snapToGrid w:val="0"/>
          <w:color w:val="000000"/>
        </w:rPr>
        <w:t xml:space="preserve">e "crédit documentaire revolving" permet dans le cas d'un courant d'affaire régulier le renouvellement automatique dans les conditions préalablement négociées, </w:t>
      </w:r>
    </w:p>
    <w:p w14:paraId="0693B5B9"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Pr>
          <w:snapToGrid w:val="0"/>
          <w:color w:val="000000"/>
        </w:rPr>
        <w:t>l</w:t>
      </w:r>
      <w:r w:rsidRPr="00892575">
        <w:rPr>
          <w:snapToGrid w:val="0"/>
          <w:color w:val="000000"/>
        </w:rPr>
        <w:t xml:space="preserve">e "crédit documentaire transférable" peut être transféré partiellement ou totalement en faveur d'un ou plusieurs bénéficiaires secondaires, fournisseurs réels de la marchandise, </w:t>
      </w:r>
    </w:p>
    <w:p w14:paraId="0693B5BA" w14:textId="77777777" w:rsidR="00E642CB" w:rsidRPr="00892575" w:rsidRDefault="00E642CB" w:rsidP="00027A02">
      <w:pPr>
        <w:numPr>
          <w:ilvl w:val="0"/>
          <w:numId w:val="27"/>
        </w:numPr>
        <w:tabs>
          <w:tab w:val="clear" w:pos="1778"/>
          <w:tab w:val="num" w:pos="364"/>
        </w:tabs>
        <w:ind w:left="360" w:right="16"/>
        <w:jc w:val="both"/>
        <w:rPr>
          <w:snapToGrid w:val="0"/>
          <w:color w:val="000000"/>
        </w:rPr>
      </w:pPr>
      <w:r w:rsidRPr="00892575">
        <w:rPr>
          <w:snapToGrid w:val="0"/>
          <w:color w:val="000000"/>
        </w:rPr>
        <w:t>le "crédit documentaire adossé" ou "back to back" se substitue au crédit transférable si cette modalité n'est pas possible. Il sera alors émis, à la demande de l'exportateur, un second crédit documentaire, en faveur de son fournisseur.</w:t>
      </w:r>
    </w:p>
    <w:p w14:paraId="0693B5BB" w14:textId="77777777" w:rsidR="00E642CB" w:rsidRPr="0056383D" w:rsidRDefault="00FB0892" w:rsidP="00E642CB">
      <w:pPr>
        <w:spacing w:before="240"/>
        <w:ind w:left="1418" w:right="17"/>
        <w:jc w:val="both"/>
        <w:rPr>
          <w:snapToGrid w:val="0"/>
          <w:color w:val="000000"/>
        </w:rPr>
      </w:pPr>
      <w:r>
        <w:rPr>
          <w:noProof/>
          <w:color w:val="000000"/>
          <w:lang w:eastAsia="fr-BE"/>
        </w:rPr>
        <w:drawing>
          <wp:inline distT="0" distB="0" distL="0" distR="0" wp14:anchorId="0693BAE4" wp14:editId="0693BAE5">
            <wp:extent cx="4276725" cy="2676525"/>
            <wp:effectExtent l="0" t="0" r="9525" b="9525"/>
            <wp:docPr id="18" name="Image 18" descr="cré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édo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76725" cy="2676525"/>
                    </a:xfrm>
                    <a:prstGeom prst="rect">
                      <a:avLst/>
                    </a:prstGeom>
                    <a:noFill/>
                    <a:ln>
                      <a:noFill/>
                    </a:ln>
                  </pic:spPr>
                </pic:pic>
              </a:graphicData>
            </a:graphic>
          </wp:inline>
        </w:drawing>
      </w:r>
    </w:p>
    <w:p w14:paraId="0693B5BC" w14:textId="77777777" w:rsidR="00E642CB" w:rsidRDefault="00E642CB" w:rsidP="00027A02">
      <w:pPr>
        <w:spacing w:before="840"/>
        <w:ind w:right="17"/>
        <w:jc w:val="both"/>
        <w:rPr>
          <w:snapToGrid w:val="0"/>
          <w:color w:val="000000"/>
        </w:rPr>
      </w:pPr>
      <w:r w:rsidRPr="0056383D">
        <w:rPr>
          <w:snapToGrid w:val="0"/>
          <w:color w:val="000000"/>
        </w:rPr>
        <w:lastRenderedPageBreak/>
        <w:t xml:space="preserve">Signalons encore des crédits moins utilisés comme </w:t>
      </w:r>
      <w:r w:rsidRPr="0056383D">
        <w:rPr>
          <w:b/>
          <w:snapToGrid w:val="0"/>
          <w:color w:val="000000"/>
        </w:rPr>
        <w:t>le crédit fournisseur, le crédit acheteur, le crédit de cadre, l’escompte sans recours cambiaire, la Garantie Forfaitaire de Paiement et les crédits d’</w:t>
      </w:r>
      <w:r>
        <w:rPr>
          <w:b/>
          <w:snapToGrid w:val="0"/>
          <w:color w:val="000000"/>
        </w:rPr>
        <w:t>É</w:t>
      </w:r>
      <w:r w:rsidRPr="0056383D">
        <w:rPr>
          <w:b/>
          <w:snapToGrid w:val="0"/>
          <w:color w:val="000000"/>
        </w:rPr>
        <w:t xml:space="preserve">tat à </w:t>
      </w:r>
      <w:r>
        <w:rPr>
          <w:b/>
          <w:snapToGrid w:val="0"/>
          <w:color w:val="000000"/>
        </w:rPr>
        <w:t>É</w:t>
      </w:r>
      <w:r w:rsidRPr="0056383D">
        <w:rPr>
          <w:b/>
          <w:snapToGrid w:val="0"/>
          <w:color w:val="000000"/>
        </w:rPr>
        <w:t>tat</w:t>
      </w:r>
      <w:r w:rsidRPr="0056383D">
        <w:rPr>
          <w:snapToGrid w:val="0"/>
          <w:color w:val="000000"/>
        </w:rPr>
        <w:t>.</w:t>
      </w:r>
    </w:p>
    <w:p w14:paraId="0693B5BD" w14:textId="77777777" w:rsidR="00E642CB" w:rsidRPr="0056383D" w:rsidRDefault="00E642CB" w:rsidP="00027A02">
      <w:pPr>
        <w:spacing w:before="240"/>
        <w:ind w:right="16"/>
        <w:jc w:val="both"/>
        <w:rPr>
          <w:snapToGrid w:val="0"/>
          <w:color w:val="000000"/>
        </w:rPr>
      </w:pPr>
      <w:r>
        <w:rPr>
          <w:snapToGrid w:val="0"/>
          <w:color w:val="000000"/>
        </w:rPr>
        <w:t>Le taux moyen de tous ces crédits est de l’ordre de 8 %.</w:t>
      </w:r>
    </w:p>
    <w:p w14:paraId="0693B5BE" w14:textId="77777777" w:rsidR="00E642CB" w:rsidRPr="0056383D" w:rsidRDefault="00E642CB" w:rsidP="00E101C5">
      <w:pPr>
        <w:pStyle w:val="Titre3"/>
        <w:rPr>
          <w:snapToGrid w:val="0"/>
        </w:rPr>
      </w:pPr>
      <w:bookmarkStart w:id="241" w:name="_Toc189380930"/>
      <w:bookmarkStart w:id="242" w:name="_Toc482815608"/>
      <w:r w:rsidRPr="0056383D">
        <w:rPr>
          <w:snapToGrid w:val="0"/>
        </w:rPr>
        <w:t>Crédits destinés à la trésorerie de l’entreprise</w:t>
      </w:r>
      <w:bookmarkEnd w:id="241"/>
      <w:bookmarkEnd w:id="242"/>
      <w:r w:rsidR="0041495B">
        <w:rPr>
          <w:snapToGrid w:val="0"/>
        </w:rPr>
        <w:fldChar w:fldCharType="begin"/>
      </w:r>
      <w:r>
        <w:instrText xml:space="preserve"> TC "</w:instrText>
      </w:r>
      <w:bookmarkStart w:id="243" w:name="_Toc189382517"/>
      <w:bookmarkStart w:id="244" w:name="_Toc189382908"/>
      <w:bookmarkStart w:id="245" w:name="_Toc189383122"/>
      <w:bookmarkStart w:id="246" w:name="_Toc189383215"/>
      <w:bookmarkStart w:id="247" w:name="_Toc192996382"/>
      <w:bookmarkStart w:id="248" w:name="_Toc279042803"/>
      <w:r w:rsidRPr="00B47B0E">
        <w:rPr>
          <w:snapToGrid w:val="0"/>
        </w:rPr>
        <w:instrText>Crédits destinés à la trésorerie de l’entreprise</w:instrText>
      </w:r>
      <w:bookmarkEnd w:id="243"/>
      <w:bookmarkEnd w:id="244"/>
      <w:bookmarkEnd w:id="245"/>
      <w:bookmarkEnd w:id="246"/>
      <w:bookmarkEnd w:id="247"/>
      <w:bookmarkEnd w:id="248"/>
      <w:r>
        <w:instrText xml:space="preserve">" \f C \l "4" </w:instrText>
      </w:r>
      <w:r w:rsidR="0041495B">
        <w:rPr>
          <w:snapToGrid w:val="0"/>
        </w:rPr>
        <w:fldChar w:fldCharType="end"/>
      </w:r>
    </w:p>
    <w:p w14:paraId="0693B5BF" w14:textId="77777777" w:rsidR="00E642CB" w:rsidRPr="0056383D" w:rsidRDefault="00E642CB" w:rsidP="001F7D23">
      <w:pPr>
        <w:pStyle w:val="Titre4"/>
        <w:rPr>
          <w:snapToGrid w:val="0"/>
        </w:rPr>
      </w:pPr>
      <w:bookmarkStart w:id="249" w:name="_Toc189380931"/>
      <w:r w:rsidRPr="0056383D">
        <w:rPr>
          <w:snapToGrid w:val="0"/>
        </w:rPr>
        <w:t>Crédit de caisse (ou avance en compte courant</w:t>
      </w:r>
      <w:r>
        <w:rPr>
          <w:snapToGrid w:val="0"/>
        </w:rPr>
        <w:t xml:space="preserve"> ou « </w:t>
      </w:r>
      <w:r w:rsidRPr="000649BA">
        <w:rPr>
          <w:snapToGrid w:val="0"/>
        </w:rPr>
        <w:t>overdraft facility</w:t>
      </w:r>
      <w:r>
        <w:rPr>
          <w:snapToGrid w:val="0"/>
        </w:rPr>
        <w:t> »</w:t>
      </w:r>
      <w:r w:rsidRPr="0056383D">
        <w:rPr>
          <w:snapToGrid w:val="0"/>
        </w:rPr>
        <w:t>)</w:t>
      </w:r>
      <w:bookmarkEnd w:id="249"/>
    </w:p>
    <w:p w14:paraId="0693B5C0" w14:textId="77777777" w:rsidR="00E642CB" w:rsidRPr="0056383D" w:rsidRDefault="00E642CB" w:rsidP="00027A02">
      <w:pPr>
        <w:ind w:right="16"/>
        <w:jc w:val="both"/>
        <w:rPr>
          <w:snapToGrid w:val="0"/>
          <w:color w:val="000000"/>
        </w:rPr>
      </w:pPr>
      <w:r w:rsidRPr="0056383D">
        <w:rPr>
          <w:snapToGrid w:val="0"/>
          <w:color w:val="000000"/>
        </w:rPr>
        <w:t>Moyennant une convention d’ouverture de crédit, la banque autorise la société cliente d’aller en négatif sur son compte, jusqu’à un certain plafond (on devrait dire plancher).</w:t>
      </w:r>
    </w:p>
    <w:p w14:paraId="0693B5C1" w14:textId="77777777" w:rsidR="00E642CB" w:rsidRPr="0056383D" w:rsidRDefault="00E642CB" w:rsidP="00027A02">
      <w:pPr>
        <w:ind w:right="16"/>
        <w:jc w:val="both"/>
        <w:rPr>
          <w:snapToGrid w:val="0"/>
          <w:color w:val="000000"/>
        </w:rPr>
      </w:pPr>
      <w:r w:rsidRPr="0056383D">
        <w:rPr>
          <w:snapToGrid w:val="0"/>
          <w:color w:val="000000"/>
        </w:rPr>
        <w:t>La convention détermine : le plafond, l’intérêt qui sera dû en</w:t>
      </w:r>
      <w:r w:rsidR="00223A32">
        <w:rPr>
          <w:snapToGrid w:val="0"/>
          <w:color w:val="000000"/>
        </w:rPr>
        <w:t xml:space="preserve"> cas d’utilisation du crédit, la</w:t>
      </w:r>
      <w:r w:rsidRPr="0056383D">
        <w:rPr>
          <w:snapToGrid w:val="0"/>
          <w:color w:val="000000"/>
        </w:rPr>
        <w:t xml:space="preserve"> durée du crédit, le montant de la commission exigée par la banque, les garanties éventuelles fournies par le client.</w:t>
      </w:r>
    </w:p>
    <w:p w14:paraId="0693B5C2" w14:textId="77777777" w:rsidR="00E642CB" w:rsidRPr="0056383D" w:rsidRDefault="00E642CB" w:rsidP="00027A02">
      <w:pPr>
        <w:ind w:right="16"/>
        <w:jc w:val="both"/>
        <w:rPr>
          <w:snapToGrid w:val="0"/>
          <w:color w:val="000000"/>
        </w:rPr>
      </w:pPr>
      <w:r w:rsidRPr="0056383D">
        <w:rPr>
          <w:snapToGrid w:val="0"/>
          <w:color w:val="000000"/>
        </w:rPr>
        <w:t>Le taux du crédit de caisse est un des plus élevés du marché des crédits. Il est basé sur les taux du marché monétaire à court terme (interbancaire et marché des avances et des remplois de fonds), augmenté d’une marge pouvant aller jusqu’à 2,5 %, augmenté de la commission de généralement 0,25 % par trimestre, augmenté des frais de dossier.</w:t>
      </w:r>
      <w:r>
        <w:rPr>
          <w:snapToGrid w:val="0"/>
          <w:color w:val="000000"/>
        </w:rPr>
        <w:t xml:space="preserve"> Début 2008, le taux moyen des crédits de caisse s’élevait à 7,86 %. </w:t>
      </w:r>
      <w:r w:rsidRPr="0056383D">
        <w:rPr>
          <w:snapToGrid w:val="0"/>
          <w:color w:val="000000"/>
        </w:rPr>
        <w:t xml:space="preserve">Les intérêts sont calculés au jour le jour, mais portés en compte trimestriellement. </w:t>
      </w:r>
    </w:p>
    <w:p w14:paraId="0693B5C3" w14:textId="77777777" w:rsidR="00E642CB" w:rsidRPr="0056383D" w:rsidRDefault="00E642CB" w:rsidP="001F7D23">
      <w:pPr>
        <w:pStyle w:val="Titre4"/>
        <w:rPr>
          <w:snapToGrid w:val="0"/>
        </w:rPr>
      </w:pPr>
      <w:bookmarkStart w:id="250" w:name="_Toc189380932"/>
      <w:r w:rsidRPr="0056383D">
        <w:rPr>
          <w:snapToGrid w:val="0"/>
        </w:rPr>
        <w:t>Crédit mobile</w:t>
      </w:r>
      <w:bookmarkEnd w:id="250"/>
    </w:p>
    <w:p w14:paraId="0693B5C4" w14:textId="77777777" w:rsidR="00E642CB" w:rsidRPr="0056383D" w:rsidRDefault="00E642CB" w:rsidP="00027A02">
      <w:pPr>
        <w:ind w:right="16"/>
        <w:jc w:val="both"/>
        <w:rPr>
          <w:snapToGrid w:val="0"/>
          <w:color w:val="000000"/>
        </w:rPr>
      </w:pPr>
      <w:r w:rsidRPr="0056383D">
        <w:rPr>
          <w:snapToGrid w:val="0"/>
          <w:color w:val="000000"/>
        </w:rPr>
        <w:t xml:space="preserve">Il s’agit d’une variante du précédent crédit, caractérisée par des avances </w:t>
      </w:r>
      <w:r w:rsidR="00223A32">
        <w:rPr>
          <w:snapToGrid w:val="0"/>
          <w:color w:val="000000"/>
        </w:rPr>
        <w:t>faites par le</w:t>
      </w:r>
      <w:r w:rsidRPr="0056383D">
        <w:rPr>
          <w:snapToGrid w:val="0"/>
          <w:color w:val="000000"/>
        </w:rPr>
        <w:t xml:space="preserve"> banquier à son client, au fur et à mesure que des factures ou des états d’avancement lui sont présentés par le client, attestant l’évolution des travaux ou des livraisons.</w:t>
      </w:r>
    </w:p>
    <w:p w14:paraId="0693B5C5" w14:textId="77777777" w:rsidR="00E642CB" w:rsidRPr="0056383D" w:rsidRDefault="00E642CB" w:rsidP="00027A02">
      <w:pPr>
        <w:ind w:right="16"/>
        <w:jc w:val="both"/>
        <w:rPr>
          <w:snapToGrid w:val="0"/>
          <w:color w:val="000000"/>
        </w:rPr>
      </w:pPr>
      <w:r w:rsidRPr="0056383D">
        <w:rPr>
          <w:snapToGrid w:val="0"/>
          <w:color w:val="000000"/>
        </w:rPr>
        <w:t>Ce crédit, mieux “ garanti ” que le précédent, sera généralement moins cher que le crédit de caisse.</w:t>
      </w:r>
    </w:p>
    <w:p w14:paraId="0693B5C6" w14:textId="77777777" w:rsidR="00E642CB" w:rsidRPr="00027A02" w:rsidRDefault="00E642CB" w:rsidP="00E642CB">
      <w:pPr>
        <w:pStyle w:val="StyleDivAprs14pt"/>
        <w:rPr>
          <w:snapToGrid w:val="0"/>
          <w:sz w:val="20"/>
          <w:lang w:val="fr-BE"/>
        </w:rPr>
      </w:pPr>
    </w:p>
    <w:p w14:paraId="0693B5C7" w14:textId="77777777" w:rsidR="00E642CB" w:rsidRDefault="00E642CB" w:rsidP="00E642CB">
      <w:pPr>
        <w:pStyle w:val="StyleDivAprs14pt"/>
        <w:rPr>
          <w:sz w:val="20"/>
          <w:lang w:val="fr-BE"/>
        </w:rPr>
      </w:pPr>
      <w:r w:rsidRPr="00027A02">
        <w:rPr>
          <w:snapToGrid w:val="0"/>
          <w:sz w:val="20"/>
        </w:rPr>
        <w:t xml:space="preserve">Signalons encore l’existence de crédits comme </w:t>
      </w:r>
      <w:r w:rsidRPr="00027A02">
        <w:rPr>
          <w:b/>
          <w:snapToGrid w:val="0"/>
          <w:sz w:val="20"/>
        </w:rPr>
        <w:t>le crédit saisonnier, l’avance sur factures, les straight loans</w:t>
      </w:r>
      <w:r w:rsidRPr="00027A02">
        <w:rPr>
          <w:snapToGrid w:val="0"/>
          <w:sz w:val="20"/>
        </w:rPr>
        <w:t xml:space="preserve"> (ou avances à terme fixe)</w:t>
      </w:r>
      <w:r w:rsidRPr="00027A02">
        <w:rPr>
          <w:b/>
          <w:snapToGrid w:val="0"/>
          <w:sz w:val="20"/>
        </w:rPr>
        <w:t>, le crédit stand-by, le papier commercial (euronotes)</w:t>
      </w:r>
      <w:r w:rsidRPr="00027A02">
        <w:rPr>
          <w:snapToGrid w:val="0"/>
          <w:sz w:val="20"/>
        </w:rPr>
        <w:t>.</w:t>
      </w:r>
      <w:r w:rsidR="002A735A" w:rsidRPr="00027A02">
        <w:rPr>
          <w:sz w:val="20"/>
        </w:rPr>
        <w:t xml:space="preserve"> </w:t>
      </w:r>
      <w:bookmarkStart w:id="251" w:name="Synth_ses_des_cr_dits_Travaux_"/>
      <w:bookmarkEnd w:id="251"/>
    </w:p>
    <w:p w14:paraId="0693B5C8" w14:textId="77777777" w:rsidR="00446806" w:rsidRDefault="00446806" w:rsidP="00105A84">
      <w:pPr>
        <w:pStyle w:val="Titre2"/>
        <w:rPr>
          <w:snapToGrid w:val="0"/>
        </w:rPr>
      </w:pPr>
      <w:bookmarkStart w:id="252" w:name="_Toc482815609"/>
      <w:r w:rsidRPr="00D80422">
        <w:rPr>
          <w:snapToGrid w:val="0"/>
        </w:rPr>
        <w:t xml:space="preserve">Et le </w:t>
      </w:r>
      <w:r w:rsidRPr="00D80422">
        <w:rPr>
          <w:i/>
          <w:snapToGrid w:val="0"/>
        </w:rPr>
        <w:t>crowd</w:t>
      </w:r>
      <w:r>
        <w:rPr>
          <w:i/>
          <w:snapToGrid w:val="0"/>
        </w:rPr>
        <w:t>funding</w:t>
      </w:r>
      <w:r w:rsidRPr="00D80422">
        <w:rPr>
          <w:snapToGrid w:val="0"/>
        </w:rPr>
        <w:t>, vous connaissez ?</w:t>
      </w:r>
      <w:bookmarkEnd w:id="252"/>
    </w:p>
    <w:p w14:paraId="141B473B" w14:textId="0289D142" w:rsidR="0044361C" w:rsidRDefault="00446806" w:rsidP="00446806">
      <w:pPr>
        <w:jc w:val="both"/>
        <w:rPr>
          <w:snapToGrid w:val="0"/>
        </w:rPr>
      </w:pPr>
      <w:r>
        <w:rPr>
          <w:snapToGrid w:val="0"/>
        </w:rPr>
        <w:t xml:space="preserve">Le </w:t>
      </w:r>
      <w:r w:rsidRPr="00D80422">
        <w:rPr>
          <w:i/>
          <w:snapToGrid w:val="0"/>
        </w:rPr>
        <w:t>crowd</w:t>
      </w:r>
      <w:r>
        <w:rPr>
          <w:i/>
          <w:snapToGrid w:val="0"/>
        </w:rPr>
        <w:t>funding</w:t>
      </w:r>
      <w:r>
        <w:rPr>
          <w:rStyle w:val="Appelnotedebasdep"/>
          <w:i/>
          <w:snapToGrid w:val="0"/>
        </w:rPr>
        <w:footnoteReference w:id="26"/>
      </w:r>
      <w:r>
        <w:rPr>
          <w:i/>
          <w:snapToGrid w:val="0"/>
        </w:rPr>
        <w:t xml:space="preserve">, </w:t>
      </w:r>
      <w:r>
        <w:rPr>
          <w:snapToGrid w:val="0"/>
        </w:rPr>
        <w:t xml:space="preserve">ou financement participatif, est l’application du principe </w:t>
      </w:r>
      <w:r w:rsidRPr="00D80422">
        <w:rPr>
          <w:i/>
          <w:snapToGrid w:val="0"/>
        </w:rPr>
        <w:t>Peer to Peer</w:t>
      </w:r>
      <w:r>
        <w:rPr>
          <w:snapToGrid w:val="0"/>
        </w:rPr>
        <w:t xml:space="preserve"> (P2P) d’Internet au monde du crédit, mais sans passer (en principe) par les banques. La rencontre entre les offreurs et les demandeurs d’argent a lieu sur des sites (maintenant de plus en plus sécurisés) Internet, comme</w:t>
      </w:r>
      <w:r w:rsidR="0044361C">
        <w:rPr>
          <w:snapToGrid w:val="0"/>
        </w:rPr>
        <w:t xml:space="preserve"> Microinvest, Indiegogo, Kickstarter et Kisskissbankbank</w:t>
      </w:r>
      <w:r w:rsidR="0044361C">
        <w:rPr>
          <w:rStyle w:val="Appelnotedebasdep"/>
          <w:snapToGrid w:val="0"/>
        </w:rPr>
        <w:footnoteReference w:id="27"/>
      </w:r>
      <w:r w:rsidR="0044361C">
        <w:rPr>
          <w:snapToGrid w:val="0"/>
        </w:rPr>
        <w:t>.</w:t>
      </w:r>
    </w:p>
    <w:p w14:paraId="0693B5CA" w14:textId="77777777" w:rsidR="00446806" w:rsidRDefault="00446806" w:rsidP="00446806">
      <w:pPr>
        <w:spacing w:before="240"/>
        <w:jc w:val="both"/>
        <w:rPr>
          <w:snapToGrid w:val="0"/>
        </w:rPr>
      </w:pPr>
      <w:r>
        <w:rPr>
          <w:snapToGrid w:val="0"/>
        </w:rPr>
        <w:t>Même si chaque plateforme de financement participatif a ses propres règles, le principe est le suivant. Dans un premier temps, le demandeur d’argent doit définir au mieux son projet sur le site et être le plus convainquant possible.</w:t>
      </w:r>
    </w:p>
    <w:p w14:paraId="0693B5CB" w14:textId="77777777" w:rsidR="00446806" w:rsidRDefault="00446806" w:rsidP="00446806">
      <w:pPr>
        <w:jc w:val="both"/>
        <w:rPr>
          <w:snapToGrid w:val="0"/>
        </w:rPr>
      </w:pPr>
      <w:r>
        <w:rPr>
          <w:snapToGrid w:val="0"/>
        </w:rPr>
        <w:t>Ensuite, les gérants du site, ainsi que les offreurs d’argent intéressés, procèderont à toutes les vérifications qu’ils estiment nécessaires dans la description du projet, avec ou sans l’aide de professionnels du crédit.</w:t>
      </w:r>
    </w:p>
    <w:p w14:paraId="0693B5CC" w14:textId="77777777" w:rsidR="00446806" w:rsidRDefault="00446806" w:rsidP="00446806">
      <w:pPr>
        <w:jc w:val="both"/>
        <w:rPr>
          <w:snapToGrid w:val="0"/>
        </w:rPr>
      </w:pPr>
      <w:r>
        <w:rPr>
          <w:snapToGrid w:val="0"/>
        </w:rPr>
        <w:t>Une fois le projet avalisé par toutes les parties concernées, la collecte des fonds commence.</w:t>
      </w:r>
    </w:p>
    <w:p w14:paraId="0693B5CD" w14:textId="77777777" w:rsidR="00446806" w:rsidRPr="00D80422" w:rsidRDefault="00446806" w:rsidP="00446806">
      <w:pPr>
        <w:jc w:val="both"/>
        <w:rPr>
          <w:snapToGrid w:val="0"/>
        </w:rPr>
      </w:pPr>
      <w:r>
        <w:rPr>
          <w:snapToGrid w:val="0"/>
        </w:rPr>
        <w:lastRenderedPageBreak/>
        <w:t>Enfin, une fois le projet aboutit, les investisseurs sont remboursés. Sont-ils rémunérés ? En principe non. Il s’agit généralement d’une récompense sous la forme de cadeaux, exceptionnellement sous la forme d’une rémunération en intérêts (et quand bien même, ces intérêts sont presque toujours très bas, moins de 6 %).</w:t>
      </w:r>
    </w:p>
    <w:p w14:paraId="0693B5CE" w14:textId="77777777" w:rsidR="00446806" w:rsidRDefault="00446806" w:rsidP="00E642CB">
      <w:pPr>
        <w:pStyle w:val="StyleDivAprs14pt"/>
        <w:rPr>
          <w:sz w:val="20"/>
          <w:lang w:val="fr-BE"/>
        </w:rPr>
      </w:pPr>
    </w:p>
    <w:p w14:paraId="0C437475" w14:textId="705BEE2D" w:rsidR="00E93FF4" w:rsidRPr="00446806" w:rsidRDefault="00E93FF4" w:rsidP="00E642CB">
      <w:pPr>
        <w:pStyle w:val="StyleDivAprs14pt"/>
        <w:rPr>
          <w:sz w:val="20"/>
          <w:lang w:val="fr-BE"/>
        </w:rPr>
      </w:pPr>
      <w:r>
        <w:rPr>
          <w:noProof/>
          <w:lang w:val="fr-BE" w:eastAsia="fr-BE"/>
        </w:rPr>
        <w:lastRenderedPageBreak/>
        <w:drawing>
          <wp:inline distT="0" distB="0" distL="0" distR="0" wp14:anchorId="11CD23C5" wp14:editId="05E1F3F1">
            <wp:extent cx="5572125" cy="8258810"/>
            <wp:effectExtent l="0" t="0" r="952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572125" cy="8258810"/>
                    </a:xfrm>
                    <a:prstGeom prst="rect">
                      <a:avLst/>
                    </a:prstGeom>
                  </pic:spPr>
                </pic:pic>
              </a:graphicData>
            </a:graphic>
          </wp:inline>
        </w:drawing>
      </w:r>
    </w:p>
    <w:p w14:paraId="0693B5CF" w14:textId="77777777" w:rsidR="004C64BF" w:rsidRDefault="004C64BF" w:rsidP="00266865">
      <w:pPr>
        <w:pStyle w:val="Titre1"/>
      </w:pPr>
      <w:bookmarkStart w:id="253" w:name="Pratiques_de_commerce_et_la_pr"/>
      <w:bookmarkStart w:id="254" w:name="_Toc482815610"/>
      <w:bookmarkEnd w:id="253"/>
      <w:r>
        <w:lastRenderedPageBreak/>
        <w:t>Pratiques de commerce et protection du consommateur</w:t>
      </w:r>
      <w:bookmarkEnd w:id="254"/>
      <w:r>
        <w:t xml:space="preserve"> </w:t>
      </w:r>
    </w:p>
    <w:p w14:paraId="39C5F388" w14:textId="7A1C78F3" w:rsidR="00772723" w:rsidRDefault="00772723">
      <w:r>
        <w:br w:type="page"/>
      </w:r>
    </w:p>
    <w:p w14:paraId="0693B5D1" w14:textId="77777777" w:rsidR="004C64BF" w:rsidRDefault="004C64BF" w:rsidP="0005457C">
      <w:pPr>
        <w:pStyle w:val="StyleDivAprs14pt"/>
      </w:pPr>
      <w:r>
        <w:lastRenderedPageBreak/>
        <w:t xml:space="preserve">Voir références </w:t>
      </w:r>
      <w:r w:rsidR="00C00C41">
        <w:rPr>
          <w:lang w:val="fr-BE"/>
        </w:rPr>
        <w:t xml:space="preserve">juridiques </w:t>
      </w:r>
      <w:r w:rsidR="00D90FE1">
        <w:rPr>
          <w:lang w:val="fr-BE"/>
        </w:rPr>
        <w:t xml:space="preserve">générales </w:t>
      </w:r>
      <w:r>
        <w:t xml:space="preserve">sur le site du cours. </w:t>
      </w:r>
    </w:p>
    <w:p w14:paraId="5FD15904" w14:textId="6AE4011C" w:rsidR="000521EE" w:rsidRDefault="000521EE" w:rsidP="00105A84">
      <w:pPr>
        <w:pStyle w:val="Titre2"/>
      </w:pPr>
      <w:bookmarkStart w:id="255" w:name="Concurrence_d_loyale"/>
      <w:bookmarkStart w:id="256" w:name="d40s"/>
      <w:bookmarkStart w:id="257" w:name="_Toc482815611"/>
      <w:bookmarkEnd w:id="255"/>
      <w:r>
        <w:t>P</w:t>
      </w:r>
      <w:r w:rsidRPr="000521EE">
        <w:t>rotection des consomm</w:t>
      </w:r>
      <w:r>
        <w:t>ateurs en cas de vente de biens</w:t>
      </w:r>
      <w:bookmarkEnd w:id="257"/>
    </w:p>
    <w:p w14:paraId="480B7333" w14:textId="7A4F583F" w:rsidR="000521EE" w:rsidRDefault="000521EE" w:rsidP="000521EE">
      <w:pPr>
        <w:rPr>
          <w:i/>
        </w:rPr>
      </w:pPr>
      <w:r w:rsidRPr="000521EE">
        <w:rPr>
          <w:i/>
        </w:rPr>
        <w:t>Cette partie a été rédigée par M</w:t>
      </w:r>
      <w:r w:rsidRPr="000521EE">
        <w:rPr>
          <w:i/>
          <w:vertAlign w:val="superscript"/>
        </w:rPr>
        <w:t>me</w:t>
      </w:r>
      <w:r w:rsidRPr="000521EE">
        <w:rPr>
          <w:i/>
        </w:rPr>
        <w:t xml:space="preserve"> Sara MEKHDOR.</w:t>
      </w:r>
    </w:p>
    <w:p w14:paraId="50F9583B" w14:textId="3E1E5BAE" w:rsidR="000521EE" w:rsidRPr="000521EE" w:rsidRDefault="000521EE" w:rsidP="000521EE">
      <w:pPr>
        <w:spacing w:before="240"/>
      </w:pPr>
      <w:r>
        <w:t xml:space="preserve">Voir son </w:t>
      </w:r>
      <w:hyperlink r:id="rId104" w:history="1">
        <w:r w:rsidRPr="000521EE">
          <w:rPr>
            <w:rStyle w:val="Lienhypertexte"/>
          </w:rPr>
          <w:t>diaporama</w:t>
        </w:r>
      </w:hyperlink>
      <w:r>
        <w:t>.</w:t>
      </w:r>
    </w:p>
    <w:p w14:paraId="0693B5D2" w14:textId="77777777" w:rsidR="00266865" w:rsidRDefault="003E4B52" w:rsidP="00105A84">
      <w:pPr>
        <w:pStyle w:val="Titre2"/>
      </w:pPr>
      <w:bookmarkStart w:id="258" w:name="_Toc482815612"/>
      <w:r>
        <w:t>Indication</w:t>
      </w:r>
      <w:r w:rsidR="00266865">
        <w:t xml:space="preserve"> des prix</w:t>
      </w:r>
      <w:r>
        <w:t xml:space="preserve"> et des quantités</w:t>
      </w:r>
      <w:bookmarkEnd w:id="258"/>
    </w:p>
    <w:p w14:paraId="0693B5D3" w14:textId="39AB7530" w:rsidR="00266865" w:rsidRDefault="00266865" w:rsidP="00127E61">
      <w:pPr>
        <w:pStyle w:val="StyleAprs14pt"/>
      </w:pPr>
      <w:r>
        <w:t xml:space="preserve">Voir texte de référence dans </w:t>
      </w:r>
      <w:r w:rsidR="00B93235">
        <w:t>Chamilo</w:t>
      </w:r>
      <w:r>
        <w:t xml:space="preserve"> / législation et droit commercial / Travaux.</w:t>
      </w:r>
    </w:p>
    <w:p w14:paraId="0693B5D4" w14:textId="77777777" w:rsidR="007625DA" w:rsidRDefault="007625DA" w:rsidP="002E3438">
      <w:pPr>
        <w:pStyle w:val="Titre3"/>
      </w:pPr>
      <w:bookmarkStart w:id="259" w:name="_Toc482815613"/>
      <w:r>
        <w:t>Sources de loi</w:t>
      </w:r>
      <w:bookmarkEnd w:id="259"/>
    </w:p>
    <w:p w14:paraId="0693B5D5" w14:textId="77777777" w:rsidR="00266865" w:rsidRDefault="000B4E24" w:rsidP="007625DA">
      <w:r>
        <w:t>31/05/2014</w:t>
      </w:r>
      <w:r w:rsidR="00266865" w:rsidRPr="002E3438">
        <w:t xml:space="preserve"> </w:t>
      </w:r>
      <w:r>
        <w:t>–</w:t>
      </w:r>
      <w:r w:rsidR="00266865" w:rsidRPr="002E3438">
        <w:t xml:space="preserve"> </w:t>
      </w:r>
      <w:r>
        <w:t>Code de Droit économique – Livre VI sur les</w:t>
      </w:r>
      <w:r w:rsidR="00266865" w:rsidRPr="002E3438">
        <w:t xml:space="preserve"> pratiques du marché et </w:t>
      </w:r>
      <w:r w:rsidR="00266865">
        <w:t>la protection du consommateur</w:t>
      </w:r>
      <w:r w:rsidR="007625DA">
        <w:t xml:space="preserve"> (chapitre 3)</w:t>
      </w:r>
    </w:p>
    <w:p w14:paraId="0693B5D6" w14:textId="77777777" w:rsidR="00266865" w:rsidRDefault="00266865" w:rsidP="002E3438">
      <w:pPr>
        <w:pStyle w:val="Titre3"/>
      </w:pPr>
      <w:bookmarkStart w:id="260" w:name="_Toc482815614"/>
      <w:r>
        <w:t>Résumé des sources de loi</w:t>
      </w:r>
      <w:bookmarkEnd w:id="260"/>
    </w:p>
    <w:p w14:paraId="0693B5D7" w14:textId="77777777" w:rsidR="00266865" w:rsidRDefault="00266865" w:rsidP="00406CE3">
      <w:pPr>
        <w:pStyle w:val="Titre4"/>
      </w:pPr>
      <w:r>
        <w:t>Définitions et principes généraux</w:t>
      </w:r>
    </w:p>
    <w:p w14:paraId="0693B5D8" w14:textId="77777777" w:rsidR="00266865" w:rsidRDefault="00266865" w:rsidP="00406CE3">
      <w:pPr>
        <w:jc w:val="both"/>
      </w:pPr>
    </w:p>
    <w:p w14:paraId="0693B5D9" w14:textId="77777777" w:rsidR="00D61B6E" w:rsidRDefault="00D61B6E" w:rsidP="00406CE3">
      <w:pPr>
        <w:jc w:val="both"/>
      </w:pPr>
      <w:r>
        <w:t>Les prix doivent être écrits au moins en €, de manière non équivoque (sauf ventes publiques).</w:t>
      </w:r>
    </w:p>
    <w:p w14:paraId="0693B5DA" w14:textId="77777777" w:rsidR="00266865" w:rsidRDefault="00266865" w:rsidP="00406CE3">
      <w:pPr>
        <w:jc w:val="both"/>
      </w:pPr>
      <w:r>
        <w:t>La loi ne s'applique pas aux opérations financières.</w:t>
      </w:r>
    </w:p>
    <w:p w14:paraId="0693B5DB" w14:textId="77777777" w:rsidR="00266865" w:rsidRDefault="00266865" w:rsidP="00406CE3">
      <w:pPr>
        <w:pStyle w:val="Titre4"/>
      </w:pPr>
      <w:r>
        <w:t xml:space="preserve">  Information du marché</w:t>
      </w:r>
    </w:p>
    <w:p w14:paraId="0693B5DC" w14:textId="77777777" w:rsidR="00266865" w:rsidRDefault="00266865" w:rsidP="00406CE3">
      <w:pPr>
        <w:pStyle w:val="Titre5"/>
      </w:pPr>
      <w:r>
        <w:t>Obligation générale d'information du consommateur</w:t>
      </w:r>
    </w:p>
    <w:p w14:paraId="0693B5DD" w14:textId="77777777" w:rsidR="00266865" w:rsidRDefault="00266865" w:rsidP="00406CE3">
      <w:pPr>
        <w:jc w:val="both"/>
      </w:pPr>
      <w:r>
        <w:t>Au plus tard au moment de la conclusion du contrat, l'entreprise doit apporter de bonne foi au consommateur les informations correctes et utiles relatives aux caractéristiques principales du produit et aux conditions de vente, compte tenu du besoin d'information exprimé par le consommateur et compte tenu de l'usage déclaré par le consommateur ou raisonnablement prévisible.</w:t>
      </w:r>
    </w:p>
    <w:p w14:paraId="0693B5DE" w14:textId="77777777" w:rsidR="00266865" w:rsidRDefault="00266865" w:rsidP="00406CE3">
      <w:pPr>
        <w:jc w:val="both"/>
      </w:pPr>
    </w:p>
    <w:p w14:paraId="0693B5DF" w14:textId="77777777" w:rsidR="00266865" w:rsidRDefault="00266865" w:rsidP="00406CE3">
      <w:pPr>
        <w:pStyle w:val="Titre5"/>
      </w:pPr>
      <w:r>
        <w:t>De l'indication des prix</w:t>
      </w:r>
    </w:p>
    <w:p w14:paraId="0693B5E0" w14:textId="77777777" w:rsidR="00266865" w:rsidRDefault="00266865" w:rsidP="00406CE3">
      <w:pPr>
        <w:jc w:val="both"/>
      </w:pPr>
      <w:r>
        <w:t>Sauf exceptions (expositions) le prix doit être indiqué par écrit et d'une manière non équivoque, de manière lisible, apparente, non équivoque, en euro</w:t>
      </w:r>
      <w:r w:rsidRPr="00406CE3">
        <w:t xml:space="preserve"> </w:t>
      </w:r>
      <w:r>
        <w:t>et nettement distinct de la publicité.</w:t>
      </w:r>
    </w:p>
    <w:p w14:paraId="0693B5E1" w14:textId="77777777" w:rsidR="00266865" w:rsidRDefault="00266865" w:rsidP="00406CE3">
      <w:pPr>
        <w:jc w:val="both"/>
      </w:pPr>
      <w:r>
        <w:t>Le prix indiqué doit être le prix total à payer par le consommateur, en ce compris la taxe sur la valeur ajoutée, toutes autres taxes, ainsi que le coût de tous les services à payer obligatoirement en supplément par le consommateur.</w:t>
      </w:r>
    </w:p>
    <w:p w14:paraId="0693B5E2" w14:textId="77777777" w:rsidR="00266865" w:rsidRDefault="00266865" w:rsidP="00406CE3">
      <w:pPr>
        <w:jc w:val="both"/>
      </w:pPr>
    </w:p>
    <w:p w14:paraId="0693B5E3" w14:textId="77777777" w:rsidR="00266865" w:rsidRDefault="00266865" w:rsidP="000A5C66">
      <w:pPr>
        <w:pStyle w:val="Titre5"/>
      </w:pPr>
      <w:r>
        <w:t>De l'indication des quantités</w:t>
      </w:r>
    </w:p>
    <w:p w14:paraId="0693B5E4" w14:textId="77777777" w:rsidR="00266865" w:rsidRDefault="00266865" w:rsidP="00406CE3">
      <w:pPr>
        <w:jc w:val="both"/>
      </w:pPr>
      <w:r>
        <w:lastRenderedPageBreak/>
        <w:t>Tout bien conditionné destiné à la vente doit porter sur l'emballage ou, à défaut de celui-ci, sur le bien même, de manière lisible, apparente et non équivoque, l'indication de sa quantité nominale exprimée dans une unité de mesure.</w:t>
      </w:r>
      <w:r w:rsidRPr="000A5C66">
        <w:t xml:space="preserve"> </w:t>
      </w:r>
      <w:r>
        <w:t>Les indications fournies par les instruments de mesure utilisés pour déterminer les quantités des biens vendus en vrac doivent être bien lisibles et apparentes pour le consommateur moyen.</w:t>
      </w:r>
    </w:p>
    <w:p w14:paraId="0693B5E5" w14:textId="77777777" w:rsidR="00266865" w:rsidRDefault="00266865" w:rsidP="00406CE3">
      <w:pPr>
        <w:jc w:val="both"/>
      </w:pPr>
      <w:r>
        <w:t>La quantité ne doit pas être mentionnée pour les biens vendus en vrac.</w:t>
      </w:r>
    </w:p>
    <w:p w14:paraId="0693B5E6" w14:textId="77777777" w:rsidR="00266865" w:rsidRDefault="00266865" w:rsidP="00406CE3">
      <w:pPr>
        <w:jc w:val="both"/>
      </w:pPr>
    </w:p>
    <w:p w14:paraId="0693B5E7" w14:textId="77777777" w:rsidR="00266865" w:rsidRDefault="00266865" w:rsidP="00406CE3">
      <w:pPr>
        <w:jc w:val="both"/>
      </w:pPr>
      <w:r>
        <w:t>Toute publicité pour des consommateurs concernant les biens préemballés en quantités préétablies qui fait état d'un prix, doit mentionner les quantités nominales du contenu des emballages.</w:t>
      </w:r>
    </w:p>
    <w:p w14:paraId="0693B5E8" w14:textId="77777777" w:rsidR="00266865" w:rsidRDefault="00266865" w:rsidP="00057A86">
      <w:pPr>
        <w:pStyle w:val="Titre5"/>
        <w:keepNext/>
      </w:pPr>
      <w:r>
        <w:t>De la publicité comparative</w:t>
      </w:r>
    </w:p>
    <w:p w14:paraId="0693B5E9" w14:textId="77777777" w:rsidR="00266865" w:rsidRDefault="00266865" w:rsidP="00406CE3">
      <w:pPr>
        <w:jc w:val="both"/>
      </w:pPr>
      <w:r>
        <w:t xml:space="preserve">  Art. 19. § 1er. La publicité comparative est licite dès lors que les conditions suivantes sont satisfaites, en ce qui concerne la comparaison :</w:t>
      </w:r>
    </w:p>
    <w:p w14:paraId="0693B5EA" w14:textId="77777777" w:rsidR="00266865" w:rsidRDefault="00266865" w:rsidP="00406CE3">
      <w:pPr>
        <w:jc w:val="both"/>
      </w:pPr>
      <w:r>
        <w:t xml:space="preserve">  1° elle n'est pas trompeuse</w:t>
      </w:r>
      <w:r w:rsidR="001716D2">
        <w:t> </w:t>
      </w:r>
      <w:r>
        <w:t>;</w:t>
      </w:r>
    </w:p>
    <w:p w14:paraId="0693B5EB" w14:textId="77777777" w:rsidR="00266865" w:rsidRDefault="00266865" w:rsidP="00406CE3">
      <w:pPr>
        <w:jc w:val="both"/>
      </w:pPr>
      <w:r>
        <w:t xml:space="preserve">  2° elle compare des biens ou services répondant aux mêmes besoins ou ayant le même objectif;</w:t>
      </w:r>
    </w:p>
    <w:p w14:paraId="0693B5EC" w14:textId="77777777" w:rsidR="00266865" w:rsidRDefault="00266865" w:rsidP="00406CE3">
      <w:pPr>
        <w:jc w:val="both"/>
      </w:pPr>
      <w:r>
        <w:t xml:space="preserve">  3° elle compare objectivement une ou plusieurs caractéristiques essentielles, pertinentes, vérifiables et représentatives de ces biens et services, dont le prix peut faire partie;</w:t>
      </w:r>
    </w:p>
    <w:p w14:paraId="0693B5ED" w14:textId="77777777" w:rsidR="00266865" w:rsidRDefault="00266865" w:rsidP="00406CE3">
      <w:pPr>
        <w:jc w:val="both"/>
      </w:pPr>
      <w:r>
        <w:t xml:space="preserve">  4° elle n'engendre pas de confusion parmi les entreprises entre l'annonceur et un concurrent ou entre les marques, noms commerciaux, autres signes distinctifs, biens ou services de l'annonceur et ceux d'un concurrent;</w:t>
      </w:r>
    </w:p>
    <w:p w14:paraId="0693B5EE" w14:textId="77777777" w:rsidR="00266865" w:rsidRDefault="00266865" w:rsidP="00406CE3">
      <w:pPr>
        <w:jc w:val="both"/>
      </w:pPr>
      <w:r>
        <w:t xml:space="preserve">  5° elle n'entraîne pas le discrédit ou le dénigrement des marques, noms commerciaux, autres signes distinctifs, biens, services, activités ou situations d'un concurrent;</w:t>
      </w:r>
    </w:p>
    <w:p w14:paraId="0693B5EF" w14:textId="77777777" w:rsidR="00266865" w:rsidRDefault="00266865" w:rsidP="00406CE3">
      <w:pPr>
        <w:jc w:val="both"/>
      </w:pPr>
      <w:r>
        <w:t xml:space="preserve">  6° pour les biens ayant une appellation d'origine, elle se rapporte dans chaque cas à des biens ayant la même appellation;</w:t>
      </w:r>
    </w:p>
    <w:p w14:paraId="0693B5F0" w14:textId="77777777" w:rsidR="00266865" w:rsidRDefault="00266865" w:rsidP="00406CE3">
      <w:pPr>
        <w:jc w:val="both"/>
      </w:pPr>
      <w:r>
        <w:t xml:space="preserve">  7° elle ne tire pas indûment profit de la notoriété attachée à une marque, à un nom commercial ou à d'autres signes distinctifs d'un concurrent ou de l'appellation d'origine de biens concurrents;</w:t>
      </w:r>
    </w:p>
    <w:p w14:paraId="0693B5F1" w14:textId="77777777" w:rsidR="00266865" w:rsidRDefault="00266865" w:rsidP="00406CE3">
      <w:pPr>
        <w:jc w:val="both"/>
      </w:pPr>
      <w:r>
        <w:t xml:space="preserve">  8° elle ne présente pas un bien ou un service comme une imitation ou une reproduction d'un bien ou d'un service portant une marque ou un nom commercial protégés.</w:t>
      </w:r>
    </w:p>
    <w:p w14:paraId="0693B5F2" w14:textId="77777777" w:rsidR="00266865" w:rsidRDefault="00266865" w:rsidP="00406CE3">
      <w:pPr>
        <w:jc w:val="both"/>
      </w:pPr>
      <w:r>
        <w:t xml:space="preserve">  § 2. Est interdite, toute publicité comparative qui ne respecte pas les conditions fixées au § 1er.</w:t>
      </w:r>
    </w:p>
    <w:p w14:paraId="0693B5F3" w14:textId="77777777" w:rsidR="00266865" w:rsidRDefault="00266865" w:rsidP="000A5C66">
      <w:pPr>
        <w:pStyle w:val="Titre5"/>
      </w:pPr>
      <w:r>
        <w:t>Section 6. - Des promotions en matière de prix</w:t>
      </w:r>
    </w:p>
    <w:p w14:paraId="0693B5F4" w14:textId="77777777" w:rsidR="00266865" w:rsidRDefault="00266865" w:rsidP="00406CE3">
      <w:pPr>
        <w:jc w:val="both"/>
      </w:pPr>
      <w:r>
        <w:t>Une entreprise ne peut, vis-à-vis du consommateur, procéder à l'annonce d'une réduction de prix par rapport au prix appliqué précédemment pour le même produit, que lorsque le nouveau prix est inférieur au prix de référence, qui est le prix le plus bas qu'elle a appliqué au cours du mois précédant le premier jour pour lequel le nouveau prix est annoncé. La charge de la preuve du respect de cette condition incombe à l'entreprise.</w:t>
      </w:r>
    </w:p>
    <w:p w14:paraId="0693B5F5" w14:textId="77777777" w:rsidR="00266865" w:rsidRDefault="00266865" w:rsidP="00406CE3">
      <w:pPr>
        <w:jc w:val="both"/>
      </w:pPr>
      <w:r>
        <w:t>Lors de la mention du nouveau prix, l'annonce doit également mentionner le prix de référence, ou les informations données doivent permettre au consommateur moyen de calculer ce prix de référence immédiatement et facilement.</w:t>
      </w:r>
    </w:p>
    <w:p w14:paraId="0693B5F6" w14:textId="77777777" w:rsidR="00266865" w:rsidRDefault="00266865" w:rsidP="00406CE3">
      <w:pPr>
        <w:jc w:val="both"/>
      </w:pPr>
      <w:r>
        <w:t>Lorsque l'entreprise applique un pourcentage de réduction uniforme sur des produits ou sur des catégories de produits, elle peut ne mentionner que le prix de référence. L'annonce indique si la réduction a été ou non effectuée.</w:t>
      </w:r>
    </w:p>
    <w:p w14:paraId="0693B5F7" w14:textId="77777777" w:rsidR="00266865" w:rsidRDefault="00266865" w:rsidP="00406CE3">
      <w:pPr>
        <w:jc w:val="both"/>
      </w:pPr>
    </w:p>
    <w:p w14:paraId="0693B5F8" w14:textId="77777777" w:rsidR="00266865" w:rsidRDefault="00266865" w:rsidP="00406CE3">
      <w:pPr>
        <w:jc w:val="both"/>
      </w:pPr>
      <w:r>
        <w:t>Hormis en cas de vente en liquidation, la réduction de prix ne peut être annoncée que pour une période n'excédant pas un mois. La période pendant laquelle la réduction est annoncée ne peut être inférieure à une journée entière de vente.</w:t>
      </w:r>
    </w:p>
    <w:p w14:paraId="0693B5F9" w14:textId="77777777" w:rsidR="00266865" w:rsidRDefault="00266865" w:rsidP="00406CE3">
      <w:pPr>
        <w:jc w:val="both"/>
      </w:pPr>
      <w:r>
        <w:t>La date à partir de laquelle le prix réduit est applicable doit demeurer indiquée pendant toute la période de vente pendant laquelle il est annoncé comme prix réduit.</w:t>
      </w:r>
    </w:p>
    <w:p w14:paraId="0693B5FA" w14:textId="77777777" w:rsidR="00266865" w:rsidRDefault="00266865" w:rsidP="00406CE3">
      <w:pPr>
        <w:jc w:val="both"/>
      </w:pPr>
    </w:p>
    <w:p w14:paraId="0693B5FB" w14:textId="77777777" w:rsidR="00266865" w:rsidRDefault="00266865" w:rsidP="003C0825">
      <w:pPr>
        <w:pStyle w:val="Titre5"/>
      </w:pPr>
      <w:r>
        <w:t>Des ventes en liquidation</w:t>
      </w:r>
    </w:p>
    <w:p w14:paraId="0693B5FC" w14:textId="77777777" w:rsidR="00266865" w:rsidRDefault="00266865" w:rsidP="00406CE3">
      <w:pPr>
        <w:jc w:val="both"/>
      </w:pPr>
      <w:r>
        <w:t>L'utilisation de la dénomination " Liquidation ", " Uit-verkoop " ou " Ausverkauf " ou de toute autre dénomination équivalente pour l'offre en vente ou la vente de biens n'est autorisée que dans l'un des cas suivants :</w:t>
      </w:r>
    </w:p>
    <w:p w14:paraId="0693B5FD" w14:textId="51B26BE5" w:rsidR="00266865" w:rsidRDefault="00266865" w:rsidP="0044361C">
      <w:pPr>
        <w:pStyle w:val="Paragraphedeliste"/>
        <w:numPr>
          <w:ilvl w:val="0"/>
          <w:numId w:val="72"/>
        </w:numPr>
        <w:jc w:val="both"/>
      </w:pPr>
      <w:r>
        <w:t>la vente a lieu en exécution d'une décision judiciaire</w:t>
      </w:r>
      <w:r w:rsidR="0044361C">
        <w:t> </w:t>
      </w:r>
      <w:r>
        <w:t>;</w:t>
      </w:r>
    </w:p>
    <w:p w14:paraId="0693B5FE" w14:textId="050094E0" w:rsidR="00266865" w:rsidRDefault="00266865" w:rsidP="0044361C">
      <w:pPr>
        <w:pStyle w:val="Paragraphedeliste"/>
        <w:numPr>
          <w:ilvl w:val="0"/>
          <w:numId w:val="72"/>
        </w:numPr>
        <w:jc w:val="both"/>
      </w:pPr>
      <w:r>
        <w:t>les héritiers ou ayants cause d'une personne défunte qui exploitait une entreprise offrent en vente la totalité ou une partie du stock de cette entreprise recueilli par eux</w:t>
      </w:r>
      <w:r w:rsidR="0044361C">
        <w:t> </w:t>
      </w:r>
      <w:r>
        <w:t>;</w:t>
      </w:r>
    </w:p>
    <w:p w14:paraId="0693B5FF" w14:textId="53381A1D" w:rsidR="00266865" w:rsidRDefault="00266865" w:rsidP="0044361C">
      <w:pPr>
        <w:pStyle w:val="Paragraphedeliste"/>
        <w:numPr>
          <w:ilvl w:val="0"/>
          <w:numId w:val="72"/>
        </w:numPr>
        <w:jc w:val="both"/>
      </w:pPr>
      <w:r>
        <w:lastRenderedPageBreak/>
        <w:t>une entreprise reprend le commerce d'une autre entreprise et offre en vente la totalité ou une partie du stock cédé</w:t>
      </w:r>
      <w:r w:rsidR="0044361C">
        <w:t> </w:t>
      </w:r>
      <w:r>
        <w:t>;</w:t>
      </w:r>
    </w:p>
    <w:p w14:paraId="0693B600" w14:textId="09DD0B72" w:rsidR="00266865" w:rsidRDefault="00266865" w:rsidP="0044361C">
      <w:pPr>
        <w:pStyle w:val="Paragraphedeliste"/>
        <w:numPr>
          <w:ilvl w:val="0"/>
          <w:numId w:val="72"/>
        </w:numPr>
        <w:jc w:val="both"/>
      </w:pPr>
      <w:r>
        <w:t>une entreprise qui renonce à son activité offre en vente la totalité de son stock et n'a pas liquidé des biens similaires, pour le même motif, au cours des trois années précédentes</w:t>
      </w:r>
      <w:r w:rsidR="0044361C">
        <w:t> </w:t>
      </w:r>
      <w:r>
        <w:t>;</w:t>
      </w:r>
    </w:p>
    <w:p w14:paraId="0693B601" w14:textId="5425500C" w:rsidR="00266865" w:rsidRDefault="00266865" w:rsidP="0044361C">
      <w:pPr>
        <w:pStyle w:val="Paragraphedeliste"/>
        <w:numPr>
          <w:ilvl w:val="0"/>
          <w:numId w:val="72"/>
        </w:numPr>
        <w:jc w:val="both"/>
      </w:pPr>
      <w:r>
        <w:t>une entreprise procède, dans les locaux où a lieu habituellement l'offre en vente au consommateur, à des transformations ou des travaux de remise en état d'une durée de plus de 20 jours ouvrables, à condition que ces travaux rendent la vente impossible et que l'entreprise n'ait pas liquidé des biens similaires, pour le même motif, au cours des trois années précédentes</w:t>
      </w:r>
      <w:r w:rsidR="0044361C">
        <w:t> </w:t>
      </w:r>
      <w:r>
        <w:t>;</w:t>
      </w:r>
    </w:p>
    <w:p w14:paraId="0693B602" w14:textId="758C9133" w:rsidR="00266865" w:rsidRDefault="00266865" w:rsidP="0044361C">
      <w:pPr>
        <w:pStyle w:val="Paragraphedeliste"/>
        <w:numPr>
          <w:ilvl w:val="0"/>
          <w:numId w:val="72"/>
        </w:numPr>
        <w:jc w:val="both"/>
      </w:pPr>
      <w:r>
        <w:t>une entreprise transfère l'établissement où a lieu habituellement l'offre en vente au consommateur vers un autre endroit, ou elle ferme son établissement, à condition qu'elle ait exploité l'établissement depuis un an au moins avant le début de la vente en liquidation;</w:t>
      </w:r>
    </w:p>
    <w:p w14:paraId="0693B603" w14:textId="60D430DE" w:rsidR="00266865" w:rsidRDefault="00266865" w:rsidP="0044361C">
      <w:pPr>
        <w:pStyle w:val="Paragraphedeliste"/>
        <w:numPr>
          <w:ilvl w:val="0"/>
          <w:numId w:val="72"/>
        </w:numPr>
        <w:jc w:val="both"/>
      </w:pPr>
      <w:r>
        <w:t>un sinistre a occasionné des dégâts graves à la totalité ou à une partie importante du stock des biens de l'entreprise</w:t>
      </w:r>
      <w:r w:rsidR="0044361C">
        <w:t> </w:t>
      </w:r>
      <w:r>
        <w:t>;</w:t>
      </w:r>
    </w:p>
    <w:p w14:paraId="0693B604" w14:textId="66E1177D" w:rsidR="00266865" w:rsidRDefault="00266865" w:rsidP="0044361C">
      <w:pPr>
        <w:pStyle w:val="Paragraphedeliste"/>
        <w:numPr>
          <w:ilvl w:val="0"/>
          <w:numId w:val="72"/>
        </w:numPr>
        <w:jc w:val="both"/>
      </w:pPr>
      <w:r>
        <w:t>par suite d'un cas de force majeure, une entrave importante est apportée à l'activité</w:t>
      </w:r>
      <w:r w:rsidR="0044361C">
        <w:t> </w:t>
      </w:r>
      <w:r>
        <w:t>;</w:t>
      </w:r>
    </w:p>
    <w:p w14:paraId="0693B605" w14:textId="65DB2597" w:rsidR="00266865" w:rsidRDefault="00266865" w:rsidP="0044361C">
      <w:pPr>
        <w:pStyle w:val="Paragraphedeliste"/>
        <w:numPr>
          <w:ilvl w:val="0"/>
          <w:numId w:val="72"/>
        </w:numPr>
        <w:jc w:val="both"/>
      </w:pPr>
      <w:r>
        <w:t>la personne physique qui exploite une entreprise renonce à toute activité professionnelle pour cause d'admission à la pension pour autant, toutefois, qu'elle n'ait pas procédé à une vente en liquidation au cours de l'année précédente, pour le motif visé au 4° ou pour le motif de fermeture de l'établissement visé au 6°.</w:t>
      </w:r>
    </w:p>
    <w:p w14:paraId="0693B606" w14:textId="77777777" w:rsidR="00266865" w:rsidRDefault="00266865" w:rsidP="00406CE3">
      <w:pPr>
        <w:jc w:val="both"/>
      </w:pPr>
    </w:p>
    <w:p w14:paraId="0693B607" w14:textId="77777777" w:rsidR="00266865" w:rsidRDefault="00266865" w:rsidP="00406CE3">
      <w:pPr>
        <w:jc w:val="both"/>
      </w:pPr>
      <w:r>
        <w:t>Celui qui souhaite procéder à une vente en liquidation doit notifier son intention d'y procéder au ministre ou au fonctionnaire désigné par lui à cet effet, préalablement à la vente en liquidation et à toute annonce y relative.</w:t>
      </w:r>
    </w:p>
    <w:p w14:paraId="0693B608" w14:textId="77777777" w:rsidR="00266865" w:rsidRDefault="00266865" w:rsidP="003C0825">
      <w:pPr>
        <w:pStyle w:val="Titre5"/>
      </w:pPr>
      <w:r>
        <w:t>Des ventes en solde</w:t>
      </w:r>
    </w:p>
    <w:p w14:paraId="0693B609" w14:textId="77777777" w:rsidR="00266865" w:rsidRDefault="00266865" w:rsidP="00406CE3">
      <w:pPr>
        <w:jc w:val="both"/>
      </w:pPr>
      <w:r>
        <w:t>Les périodes des soldes sont les périodes du 3 janvier au 31 janvier et du 1er juillet au 31 juillet. Lorsque le 3 janvier ou le 1</w:t>
      </w:r>
      <w:r w:rsidRPr="003C0825">
        <w:rPr>
          <w:vertAlign w:val="superscript"/>
        </w:rPr>
        <w:t>er</w:t>
      </w:r>
      <w:r>
        <w:t xml:space="preserve"> juillet est un dimanche, la période des soldes commence un jour plus tôt.</w:t>
      </w:r>
    </w:p>
    <w:p w14:paraId="0693B60A" w14:textId="77777777" w:rsidR="00266865" w:rsidRDefault="00266865" w:rsidP="00406CE3">
      <w:pPr>
        <w:jc w:val="both"/>
      </w:pPr>
      <w:r>
        <w:t>L'utilisation par une entreprise de la dénomination " Soldes ", " Opruiming ", " Solden " ou " Schlussverkauf ", ou de toute autre dénomination similaire, n'est autorisée que pour l'offre en vente et la vente de biens pendant la période de soldes et si les conditions de la présente section sont réunies.</w:t>
      </w:r>
    </w:p>
    <w:p w14:paraId="0693B60B" w14:textId="77777777" w:rsidR="00266865" w:rsidRDefault="00266865" w:rsidP="00406CE3">
      <w:pPr>
        <w:jc w:val="both"/>
      </w:pPr>
      <w:r>
        <w:t>Peuvent seuls faire l'objet d'une offre sous la dénomination visée à l'article, les biens que l'entreprise a offerts en vente précédemment pendant au moins trente jours et qui sont toujours en possession de l'entreprise au début de la vente en solde.</w:t>
      </w:r>
    </w:p>
    <w:p w14:paraId="0693B60C" w14:textId="77777777" w:rsidR="00266865" w:rsidRDefault="00266865" w:rsidP="00406CE3">
      <w:pPr>
        <w:jc w:val="both"/>
      </w:pPr>
    </w:p>
    <w:p w14:paraId="0693B60D" w14:textId="77777777" w:rsidR="00266865" w:rsidRDefault="00266865" w:rsidP="00406CE3">
      <w:pPr>
        <w:jc w:val="both"/>
      </w:pPr>
      <w:r>
        <w:t>Lorsque le bien vendu en soldes a été offert en vente pendant le mois précédant la période des soldes, dans le même point de vente ou selon la même technique de vente, le prix demandé doit être inférieur au prix de référence, qui est le prix le plus bas que l'entreprise a pratiqué pour ce bien, au cours de ce mois, dans ce point de vente ou selon cette technique de vente.</w:t>
      </w:r>
    </w:p>
    <w:p w14:paraId="0693B60E" w14:textId="77777777" w:rsidR="00266865" w:rsidRDefault="00266865" w:rsidP="00406CE3">
      <w:pPr>
        <w:jc w:val="both"/>
      </w:pPr>
      <w:r>
        <w:t>Lorsque le bien vendu en soldes n'a pas été offert en vente pendant le mois précédant la période des soldes, le prix demandé doit être inférieur au prix de référence, qui est le prix le plus bas que l'entreprise a pratiqué pour ce bien dans le passé, indépendamment du point de vente ou de la technique de vente utilisée.</w:t>
      </w:r>
    </w:p>
    <w:p w14:paraId="0693B60F" w14:textId="77777777" w:rsidR="00266865" w:rsidRDefault="00266865" w:rsidP="00406CE3">
      <w:pPr>
        <w:jc w:val="both"/>
      </w:pPr>
    </w:p>
    <w:p w14:paraId="0693B610" w14:textId="77777777" w:rsidR="00266865" w:rsidRDefault="00266865" w:rsidP="00406CE3">
      <w:pPr>
        <w:jc w:val="both"/>
      </w:pPr>
      <w:r>
        <w:t>La charge de la preuve du respect des conditions fixées pour l'offre en vente incombe à l'entreprise qui procède à une telle offre en vente.</w:t>
      </w:r>
    </w:p>
    <w:p w14:paraId="0693B611" w14:textId="77777777" w:rsidR="00266865" w:rsidRDefault="00266865" w:rsidP="00406CE3">
      <w:pPr>
        <w:jc w:val="both"/>
      </w:pPr>
    </w:p>
    <w:p w14:paraId="0693B612" w14:textId="77777777" w:rsidR="00266865" w:rsidRDefault="00266865" w:rsidP="00406CE3">
      <w:pPr>
        <w:jc w:val="both"/>
      </w:pPr>
      <w:r>
        <w:t>Durant les périodes débutant le 6 décembre et le 6 juin, chaque fois jusqu'au premier jour de la prochaine période des soldes, il est interdit, dans les secteurs de l'habillement, des articles de maroquinerie et des chaussures, d'annoncer des réductions de prix qui produisent leurs effets durant cette période, quels que soient le lieu ou les moyens de communication mis en oeuvre.</w:t>
      </w:r>
    </w:p>
    <w:p w14:paraId="0693B613" w14:textId="77777777" w:rsidR="00266865" w:rsidRDefault="00266865" w:rsidP="00406CE3">
      <w:pPr>
        <w:jc w:val="both"/>
      </w:pPr>
      <w:r>
        <w:t>Avant la période d'attente visée à l'alinéa 1er, il est interdit d'effectuer des annonces de réductions de prix qui produisent leurs effets durant la période d'attente. L'interdiction visée à l'alinéa 1er implique en outre l'interdiction de diffuser des titres donnant droit à une réduction de prix pendant la période d'attente.</w:t>
      </w:r>
    </w:p>
    <w:p w14:paraId="0693B614" w14:textId="77777777" w:rsidR="00266865" w:rsidRDefault="00266865" w:rsidP="003C0825">
      <w:pPr>
        <w:pStyle w:val="Titre5"/>
      </w:pPr>
      <w:r>
        <w:t>Des titres donnant droit à un remboursement ou à une réduction de prix</w:t>
      </w:r>
    </w:p>
    <w:p w14:paraId="0693B615" w14:textId="77777777" w:rsidR="00266865" w:rsidRDefault="00266865" w:rsidP="00406CE3">
      <w:pPr>
        <w:jc w:val="both"/>
      </w:pPr>
      <w:r>
        <w:lastRenderedPageBreak/>
        <w:t>Les titres offerts par une entreprise lors de l'acquisition d'un bien ou d'un service et donnant droit à un remboursement ultérieur du prix ou d'une partie du prix mentionnent les données suivantes :</w:t>
      </w:r>
    </w:p>
    <w:p w14:paraId="0693B616" w14:textId="77777777" w:rsidR="00266865" w:rsidRDefault="00266865" w:rsidP="00406CE3">
      <w:pPr>
        <w:jc w:val="both"/>
      </w:pPr>
      <w:r>
        <w:t xml:space="preserve">  1° le nom, l'adresse et, le cas échéant, la forme de société et le numéro d'entreprise de l'émetteur;</w:t>
      </w:r>
    </w:p>
    <w:p w14:paraId="0693B617" w14:textId="77777777" w:rsidR="00266865" w:rsidRDefault="00266865" w:rsidP="00406CE3">
      <w:pPr>
        <w:jc w:val="both"/>
      </w:pPr>
      <w:r>
        <w:t xml:space="preserve">  2° le montant remboursé;</w:t>
      </w:r>
    </w:p>
    <w:p w14:paraId="0693B618" w14:textId="77777777" w:rsidR="00266865" w:rsidRDefault="00266865" w:rsidP="00406CE3">
      <w:pPr>
        <w:jc w:val="both"/>
      </w:pPr>
      <w:r>
        <w:t xml:space="preserve">  3° la limite éventuelle de leur durée de validité, sauf si celle-ci est illimitée;</w:t>
      </w:r>
    </w:p>
    <w:p w14:paraId="0693B619" w14:textId="77777777" w:rsidR="00266865" w:rsidRDefault="00266865" w:rsidP="00406CE3">
      <w:pPr>
        <w:jc w:val="both"/>
      </w:pPr>
      <w:r>
        <w:t xml:space="preserve">  4° les modalités et conditions de remboursement, y compris les démarches que le détenteur du titre doit entreprendre pour obtenir le remboursement et le délai dans lequel le remboursement sera effectué, sauf si ces informations sont communiquées en même temps que le titre dans un document séparé.</w:t>
      </w:r>
    </w:p>
    <w:p w14:paraId="0693B61A" w14:textId="77777777" w:rsidR="00266865" w:rsidRDefault="00266865" w:rsidP="00406CE3">
      <w:pPr>
        <w:jc w:val="both"/>
      </w:pPr>
    </w:p>
    <w:p w14:paraId="0693B61B" w14:textId="77777777" w:rsidR="00266865" w:rsidRDefault="00266865" w:rsidP="00406CE3">
      <w:pPr>
        <w:jc w:val="both"/>
      </w:pPr>
      <w:r>
        <w:t>Toute entreprise qui se voit présenter un titre qui a été diffusé gratuitement par elle-même ou par une autre entreprise et qui permet à son détenteur, à l'achat d'un ou de plusieurs biens et/ou services, d'obtenir immédiatement une réduction de prix, est obligée de l'accepter, pour autant que les conditions de l'offre soient remplies.</w:t>
      </w:r>
    </w:p>
    <w:p w14:paraId="0693B61C" w14:textId="77777777" w:rsidR="00266865" w:rsidRDefault="00266865" w:rsidP="00406CE3">
      <w:pPr>
        <w:jc w:val="both"/>
      </w:pPr>
      <w:r>
        <w:t>L'émetteur est obligé de le rembourser dans un délai raisonnable à l'entreprise où le titre a été présenté.</w:t>
      </w:r>
    </w:p>
    <w:p w14:paraId="0693B61D" w14:textId="77777777" w:rsidR="00266865" w:rsidRDefault="00266865" w:rsidP="00406CE3">
      <w:pPr>
        <w:pStyle w:val="Titre3"/>
      </w:pPr>
      <w:bookmarkStart w:id="261" w:name="_Toc482815615"/>
      <w:r>
        <w:t>Exemples</w:t>
      </w:r>
      <w:bookmarkEnd w:id="261"/>
    </w:p>
    <w:p w14:paraId="0693B61E" w14:textId="77777777" w:rsidR="00266865" w:rsidRDefault="00266865" w:rsidP="00F44075">
      <w:pPr>
        <w:numPr>
          <w:ilvl w:val="0"/>
          <w:numId w:val="68"/>
        </w:numPr>
      </w:pPr>
      <w:r>
        <w:t>Vitrines de magasins de luxe sans prix (dans certains quartiers).</w:t>
      </w:r>
    </w:p>
    <w:p w14:paraId="0693B61F" w14:textId="77777777" w:rsidR="00266865" w:rsidRDefault="00266865" w:rsidP="00F44075">
      <w:pPr>
        <w:numPr>
          <w:ilvl w:val="0"/>
          <w:numId w:val="68"/>
        </w:numPr>
      </w:pPr>
      <w:r>
        <w:t>Présoldes.</w:t>
      </w:r>
    </w:p>
    <w:p w14:paraId="0693B620" w14:textId="77777777" w:rsidR="00266865" w:rsidRDefault="00266865" w:rsidP="00F44075">
      <w:pPr>
        <w:numPr>
          <w:ilvl w:val="0"/>
          <w:numId w:val="68"/>
        </w:numPr>
      </w:pPr>
      <w:r>
        <w:t>Prix de vols aériens de compagnies à bas prix.</w:t>
      </w:r>
    </w:p>
    <w:p w14:paraId="0693B621" w14:textId="77777777" w:rsidR="00266865" w:rsidRPr="00357B4A" w:rsidRDefault="00266865" w:rsidP="00357B4A"/>
    <w:p w14:paraId="0693B622" w14:textId="77777777" w:rsidR="00266865" w:rsidRDefault="00266865" w:rsidP="00406CE3"/>
    <w:p w14:paraId="0693B623" w14:textId="77777777" w:rsidR="003E4B52" w:rsidRDefault="003E4B52" w:rsidP="00105A84">
      <w:pPr>
        <w:pStyle w:val="Titre2"/>
      </w:pPr>
      <w:bookmarkStart w:id="262" w:name="_Toc482815616"/>
      <w:r>
        <w:t>Des contrats à distance et des contrats conclus hors de l’entreprise</w:t>
      </w:r>
      <w:bookmarkEnd w:id="262"/>
    </w:p>
    <w:p w14:paraId="0693B624" w14:textId="77777777" w:rsidR="007625DA" w:rsidRDefault="003B08A7" w:rsidP="003F7320">
      <w:pPr>
        <w:pStyle w:val="Titre3"/>
      </w:pPr>
      <w:bookmarkStart w:id="263" w:name="_Toc482815617"/>
      <w:r>
        <w:t>Sources de loi</w:t>
      </w:r>
      <w:bookmarkEnd w:id="263"/>
      <w:r>
        <w:t xml:space="preserve"> </w:t>
      </w:r>
    </w:p>
    <w:p w14:paraId="0693B625" w14:textId="77777777" w:rsidR="00266865" w:rsidRDefault="003B08A7" w:rsidP="007625DA">
      <w:r>
        <w:t>31/05/2014</w:t>
      </w:r>
      <w:r w:rsidRPr="002E3438">
        <w:t xml:space="preserve"> </w:t>
      </w:r>
      <w:r>
        <w:t>–</w:t>
      </w:r>
      <w:r w:rsidRPr="002E3438">
        <w:t xml:space="preserve"> </w:t>
      </w:r>
      <w:r>
        <w:t>Code de Droit économique – Livre VI sur les</w:t>
      </w:r>
      <w:r w:rsidRPr="002E3438">
        <w:t xml:space="preserve"> pratiques du marché et </w:t>
      </w:r>
      <w:r>
        <w:t>la protection du consommateur</w:t>
      </w:r>
      <w:r w:rsidR="00266865">
        <w:t xml:space="preserve"> (</w:t>
      </w:r>
      <w:r>
        <w:t xml:space="preserve">chapitre </w:t>
      </w:r>
      <w:r w:rsidR="007625DA">
        <w:t>4</w:t>
      </w:r>
      <w:r w:rsidR="00266865">
        <w:t>)</w:t>
      </w:r>
    </w:p>
    <w:p w14:paraId="0693B626" w14:textId="77777777" w:rsidR="003E4B52" w:rsidRDefault="003E4B52" w:rsidP="003E4B52">
      <w:pPr>
        <w:keepNext/>
        <w:numPr>
          <w:ilvl w:val="2"/>
          <w:numId w:val="1"/>
        </w:numPr>
        <w:tabs>
          <w:tab w:val="left" w:pos="1134"/>
        </w:tabs>
        <w:spacing w:before="600" w:after="320"/>
        <w:outlineLvl w:val="2"/>
        <w:rPr>
          <w:rFonts w:ascii="Arial" w:hAnsi="Arial" w:cs="Arial"/>
          <w:b/>
          <w:bCs/>
          <w:color w:val="0000FF"/>
          <w:sz w:val="32"/>
          <w:szCs w:val="26"/>
        </w:rPr>
      </w:pPr>
      <w:bookmarkStart w:id="264" w:name="_Toc482815618"/>
      <w:r w:rsidRPr="003E4B52">
        <w:rPr>
          <w:rFonts w:ascii="Arial" w:hAnsi="Arial" w:cs="Arial"/>
          <w:b/>
          <w:bCs/>
          <w:color w:val="0000FF"/>
          <w:sz w:val="32"/>
          <w:szCs w:val="26"/>
        </w:rPr>
        <w:t>Résumé des sources</w:t>
      </w:r>
      <w:bookmarkEnd w:id="264"/>
    </w:p>
    <w:p w14:paraId="0693B627" w14:textId="77777777" w:rsidR="003E4B52" w:rsidRPr="003E4B52" w:rsidRDefault="003E4B52" w:rsidP="003E4B52">
      <w:r>
        <w:t>Voir carte mentale au cours.</w:t>
      </w:r>
    </w:p>
    <w:p w14:paraId="0693B628" w14:textId="77777777" w:rsidR="003E4B52" w:rsidRDefault="003E4B52" w:rsidP="003E4B52">
      <w:pPr>
        <w:keepNext/>
        <w:numPr>
          <w:ilvl w:val="2"/>
          <w:numId w:val="1"/>
        </w:numPr>
        <w:tabs>
          <w:tab w:val="left" w:pos="1134"/>
        </w:tabs>
        <w:spacing w:before="600" w:after="320"/>
        <w:outlineLvl w:val="2"/>
        <w:rPr>
          <w:rFonts w:ascii="Arial" w:hAnsi="Arial" w:cs="Arial"/>
          <w:b/>
          <w:bCs/>
          <w:color w:val="0000FF"/>
          <w:sz w:val="32"/>
          <w:szCs w:val="26"/>
        </w:rPr>
      </w:pPr>
      <w:bookmarkStart w:id="265" w:name="_Toc482815619"/>
      <w:r w:rsidRPr="003E4B52">
        <w:rPr>
          <w:rFonts w:ascii="Arial" w:hAnsi="Arial" w:cs="Arial"/>
          <w:b/>
          <w:bCs/>
          <w:color w:val="0000FF"/>
          <w:sz w:val="32"/>
          <w:szCs w:val="26"/>
        </w:rPr>
        <w:t>Exemples</w:t>
      </w:r>
      <w:bookmarkEnd w:id="265"/>
    </w:p>
    <w:p w14:paraId="0693B629" w14:textId="77777777" w:rsidR="003E4B52" w:rsidRDefault="00B47021" w:rsidP="003E4B52">
      <w:r>
        <w:t>À</w:t>
      </w:r>
      <w:r w:rsidR="003E4B52">
        <w:t xml:space="preserve"> compléter.</w:t>
      </w:r>
    </w:p>
    <w:p w14:paraId="0693B62A" w14:textId="77777777" w:rsidR="003E4B52" w:rsidRDefault="003E4B52" w:rsidP="00105A84">
      <w:pPr>
        <w:pStyle w:val="Titre2"/>
      </w:pPr>
      <w:bookmarkStart w:id="266" w:name="_Toc482815620"/>
      <w:r>
        <w:lastRenderedPageBreak/>
        <w:t>Offre conjointe</w:t>
      </w:r>
      <w:bookmarkEnd w:id="266"/>
      <w:r>
        <w:t xml:space="preserve"> </w:t>
      </w:r>
    </w:p>
    <w:p w14:paraId="0693B62B" w14:textId="77777777" w:rsidR="007625DA" w:rsidRDefault="003E4B52" w:rsidP="003E4B52">
      <w:pPr>
        <w:pStyle w:val="Titre3"/>
        <w:numPr>
          <w:ilvl w:val="2"/>
          <w:numId w:val="1"/>
        </w:numPr>
      </w:pPr>
      <w:bookmarkStart w:id="267" w:name="_Toc482815621"/>
      <w:r>
        <w:t>Sources de loi</w:t>
      </w:r>
      <w:bookmarkEnd w:id="267"/>
    </w:p>
    <w:p w14:paraId="0693B62C" w14:textId="77777777" w:rsidR="007625DA" w:rsidRDefault="007625DA" w:rsidP="007625DA">
      <w:r>
        <w:t>31/05/2014</w:t>
      </w:r>
      <w:r w:rsidRPr="002E3438">
        <w:t xml:space="preserve"> </w:t>
      </w:r>
      <w:r>
        <w:t>–</w:t>
      </w:r>
      <w:r w:rsidRPr="002E3438">
        <w:t xml:space="preserve"> </w:t>
      </w:r>
      <w:r>
        <w:t>Code de Droit économique – Livre VI sur les</w:t>
      </w:r>
      <w:r w:rsidRPr="002E3438">
        <w:t xml:space="preserve"> pratiques du marché et </w:t>
      </w:r>
      <w:r>
        <w:t>la protection du consommateur (chapitre 5)</w:t>
      </w:r>
    </w:p>
    <w:p w14:paraId="0693B62D" w14:textId="77777777" w:rsidR="003E4B52" w:rsidRPr="003E4B52" w:rsidRDefault="003E4B52" w:rsidP="003E4B52"/>
    <w:p w14:paraId="0693B62E" w14:textId="77777777" w:rsidR="00266865" w:rsidRDefault="00266865" w:rsidP="003F7320">
      <w:pPr>
        <w:pStyle w:val="Titre3"/>
      </w:pPr>
      <w:bookmarkStart w:id="268" w:name="_Toc482815622"/>
      <w:r>
        <w:t>Résumé des sources</w:t>
      </w:r>
      <w:bookmarkEnd w:id="268"/>
    </w:p>
    <w:p w14:paraId="0693B62F" w14:textId="77777777" w:rsidR="00266865" w:rsidRDefault="00266865" w:rsidP="00D0697F">
      <w:pPr>
        <w:jc w:val="both"/>
        <w:rPr>
          <w:szCs w:val="20"/>
        </w:rPr>
      </w:pPr>
      <w:r>
        <w:rPr>
          <w:szCs w:val="20"/>
        </w:rPr>
        <w:t>Depuis 2010, les offres conjointes sont autorisées en Belgique, sauf en matière de services financiers</w:t>
      </w:r>
      <w:r>
        <w:rPr>
          <w:rStyle w:val="Appelnotedebasdep"/>
          <w:szCs w:val="20"/>
        </w:rPr>
        <w:footnoteReference w:id="28"/>
      </w:r>
      <w:r>
        <w:rPr>
          <w:szCs w:val="20"/>
        </w:rPr>
        <w:t>. Des exceptions (à cette exception) sont toutefois autorisées, comme les « packs » mensuels liés à un compte courant. Bref, les services financiers qui constituent un ensemble, comme dit la loi, peuvent faire l’objet d’une offre conjointe.</w:t>
      </w:r>
    </w:p>
    <w:p w14:paraId="0693B630" w14:textId="77777777" w:rsidR="00266865" w:rsidRDefault="00266865" w:rsidP="00D0697F">
      <w:pPr>
        <w:jc w:val="both"/>
        <w:rPr>
          <w:szCs w:val="20"/>
        </w:rPr>
      </w:pPr>
    </w:p>
    <w:p w14:paraId="0693B631" w14:textId="77777777" w:rsidR="00266865" w:rsidRDefault="00266865" w:rsidP="00D0697F">
      <w:pPr>
        <w:jc w:val="both"/>
        <w:rPr>
          <w:szCs w:val="20"/>
        </w:rPr>
      </w:pPr>
      <w:r>
        <w:rPr>
          <w:szCs w:val="20"/>
        </w:rPr>
        <w:t>D’autres exceptions sont prévues, plutôt issues des usages commerciaux que de particularités.</w:t>
      </w:r>
    </w:p>
    <w:p w14:paraId="0693B632" w14:textId="77777777" w:rsidR="00266865" w:rsidRDefault="00266865" w:rsidP="00D0697F">
      <w:pPr>
        <w:jc w:val="both"/>
        <w:rPr>
          <w:szCs w:val="20"/>
        </w:rPr>
      </w:pPr>
      <w:r>
        <w:rPr>
          <w:szCs w:val="20"/>
        </w:rPr>
        <w:t>Ainsi, les pratiques anciennes concernant les titres, par exemple, sont toujours autorisées, comme les obligations convertibles, qui donnent droit, à une période donnée, à être converties en actions de la même entreprise. Il s’agit effectivement d’une offre conjointe de titres.</w:t>
      </w:r>
    </w:p>
    <w:p w14:paraId="0693B633" w14:textId="77777777" w:rsidR="00266865" w:rsidRPr="00AB69F5" w:rsidRDefault="00266865" w:rsidP="00AB69F5">
      <w:pPr>
        <w:pStyle w:val="Titre4"/>
      </w:pPr>
      <w:r w:rsidRPr="00AB69F5">
        <w:t>Où porter plainte ?</w:t>
      </w:r>
    </w:p>
    <w:p w14:paraId="0693B634" w14:textId="77777777" w:rsidR="00266865" w:rsidRPr="00AB69F5" w:rsidRDefault="00266865" w:rsidP="00AB69F5">
      <w:pPr>
        <w:jc w:val="both"/>
        <w:rPr>
          <w:szCs w:val="20"/>
        </w:rPr>
      </w:pPr>
    </w:p>
    <w:p w14:paraId="0693B635" w14:textId="77777777" w:rsidR="00266865" w:rsidRPr="00AB69F5" w:rsidRDefault="00266865" w:rsidP="00AB69F5">
      <w:pPr>
        <w:jc w:val="both"/>
        <w:rPr>
          <w:i/>
          <w:szCs w:val="20"/>
        </w:rPr>
      </w:pPr>
      <w:r w:rsidRPr="00AB69F5">
        <w:rPr>
          <w:i/>
          <w:szCs w:val="20"/>
        </w:rPr>
        <w:t>L’offre conjointe est donc interdite, mais uniquement lorsqu’un consommateur est concerné. De plus, en application de l’article 54 LPCC, il n’est pas interdit d’offrir gratuitement un produit ou un service au consommateur, à condition qu’il n’y ait aucune obligation d’achat, et que le consommateur ait été clairement informé.</w:t>
      </w:r>
    </w:p>
    <w:p w14:paraId="0693B636" w14:textId="77777777" w:rsidR="00266865" w:rsidRPr="00AB69F5" w:rsidRDefault="00266865" w:rsidP="00AB69F5">
      <w:pPr>
        <w:jc w:val="both"/>
        <w:rPr>
          <w:i/>
          <w:szCs w:val="20"/>
        </w:rPr>
      </w:pPr>
    </w:p>
    <w:p w14:paraId="0693B637" w14:textId="77777777" w:rsidR="00266865" w:rsidRPr="00AB69F5" w:rsidRDefault="00266865" w:rsidP="00AB69F5">
      <w:pPr>
        <w:jc w:val="both"/>
        <w:rPr>
          <w:i/>
          <w:szCs w:val="20"/>
        </w:rPr>
      </w:pPr>
      <w:r w:rsidRPr="00AB69F5">
        <w:rPr>
          <w:i/>
          <w:szCs w:val="20"/>
        </w:rPr>
        <w:t>Pour les plaintes relatives à l’offre conjointe ou à la vente couplée, vous pouvez vous adresser à la Direction générale du Contrôle et de la Médiation.</w:t>
      </w:r>
      <w:r>
        <w:rPr>
          <w:rStyle w:val="Appelnotedebasdep"/>
          <w:i/>
          <w:szCs w:val="20"/>
        </w:rPr>
        <w:footnoteReference w:id="29"/>
      </w:r>
    </w:p>
    <w:p w14:paraId="0693B638" w14:textId="77777777" w:rsidR="00266865" w:rsidRDefault="00266865" w:rsidP="00D0697F">
      <w:pPr>
        <w:pStyle w:val="Titre3"/>
      </w:pPr>
      <w:bookmarkStart w:id="269" w:name="_Toc482815623"/>
      <w:r>
        <w:t>Exemples</w:t>
      </w:r>
      <w:bookmarkEnd w:id="269"/>
    </w:p>
    <w:p w14:paraId="0693B639" w14:textId="77777777" w:rsidR="00266865" w:rsidRDefault="00266865" w:rsidP="00FF4F3C">
      <w:pPr>
        <w:pStyle w:val="Titre4"/>
      </w:pPr>
      <w:r>
        <w:t>Offre couplée de Telenet : abonnement GSM avec i-Phone</w:t>
      </w:r>
    </w:p>
    <w:p w14:paraId="0693B63A" w14:textId="77777777" w:rsidR="00266865" w:rsidRPr="00FF4F3C" w:rsidRDefault="00266865" w:rsidP="00FF4F3C">
      <w:pPr>
        <w:jc w:val="both"/>
        <w:rPr>
          <w:b/>
          <w:i/>
        </w:rPr>
      </w:pPr>
      <w:r w:rsidRPr="00FF4F3C">
        <w:rPr>
          <w:b/>
          <w:i/>
        </w:rPr>
        <w:t>25 mai 2011 - Offre couplée de Telenet : abonnement GSM avec i-Phone</w:t>
      </w:r>
    </w:p>
    <w:p w14:paraId="0693B63B" w14:textId="77777777" w:rsidR="00266865" w:rsidRPr="00FF4F3C" w:rsidRDefault="00266865" w:rsidP="00FF4F3C">
      <w:pPr>
        <w:jc w:val="both"/>
        <w:rPr>
          <w:i/>
        </w:rPr>
      </w:pPr>
      <w:r w:rsidRPr="00FF4F3C">
        <w:rPr>
          <w:i/>
        </w:rPr>
        <w:t>L'opérateur malinois Telenet propose un i-Phone à prix préférentiel couplé avec des abonnements. L'offre du siècle ? Pas du tout.</w:t>
      </w:r>
    </w:p>
    <w:p w14:paraId="0693B63C" w14:textId="77777777" w:rsidR="00266865" w:rsidRPr="00FF4F3C" w:rsidRDefault="00266865" w:rsidP="00FF4F3C">
      <w:pPr>
        <w:jc w:val="both"/>
        <w:rPr>
          <w:i/>
        </w:rPr>
      </w:pPr>
      <w:r w:rsidRPr="00FF4F3C">
        <w:rPr>
          <w:i/>
        </w:rPr>
        <w:t>L'offre semble alléchante. Un i-Phone à 1€ alors que celui-ci coûte entre 599 € et 639,99 € en magasin, cela a de quoi séduire. Pourtant, il s'agit d'une offre conjointe pas toujours avantageuse.</w:t>
      </w:r>
    </w:p>
    <w:p w14:paraId="0693B63D" w14:textId="77777777" w:rsidR="00266865" w:rsidRPr="00FF4F3C" w:rsidRDefault="00266865" w:rsidP="00FF4F3C">
      <w:pPr>
        <w:jc w:val="both"/>
        <w:rPr>
          <w:i/>
        </w:rPr>
      </w:pPr>
      <w:r w:rsidRPr="00FF4F3C">
        <w:rPr>
          <w:i/>
        </w:rPr>
        <w:t xml:space="preserve"> </w:t>
      </w:r>
    </w:p>
    <w:p w14:paraId="0693B63E" w14:textId="77777777" w:rsidR="00266865" w:rsidRPr="00FF4F3C" w:rsidRDefault="00266865" w:rsidP="00FF4F3C">
      <w:pPr>
        <w:jc w:val="both"/>
        <w:rPr>
          <w:b/>
          <w:i/>
        </w:rPr>
      </w:pPr>
      <w:r w:rsidRPr="00FF4F3C">
        <w:rPr>
          <w:b/>
          <w:i/>
        </w:rPr>
        <w:t>L'offre de Telenet</w:t>
      </w:r>
    </w:p>
    <w:p w14:paraId="0693B63F" w14:textId="77777777" w:rsidR="00266865" w:rsidRDefault="00266865" w:rsidP="00FF4F3C">
      <w:pPr>
        <w:jc w:val="both"/>
        <w:rPr>
          <w:i/>
        </w:rPr>
      </w:pPr>
      <w:r w:rsidRPr="00FF4F3C">
        <w:rPr>
          <w:i/>
        </w:rPr>
        <w:t>L'opérateur a mis sur pied trois offres incluant chacune l'i-Phone, un forfait mensuel de minutes ou SMS et un quota de téléchargement "internet mobile". On remarque directement que l'obtention de l'i-Phone à 1 € est liée à la souscription à l'abonnement le plus élevé (75 € / mois) pendant une période de 24 mois. Il faudra donc débourser au moins au total 1 800 € sur 2 ans.</w:t>
      </w:r>
      <w:r w:rsidRPr="00AD495C">
        <w:rPr>
          <w:rStyle w:val="Appelnotedebasdep"/>
          <w:i/>
        </w:rPr>
        <w:t xml:space="preserve"> </w:t>
      </w:r>
      <w:r>
        <w:rPr>
          <w:rStyle w:val="Appelnotedebasdep"/>
          <w:i/>
        </w:rPr>
        <w:footnoteReference w:id="30"/>
      </w:r>
    </w:p>
    <w:p w14:paraId="0693B640" w14:textId="77777777" w:rsidR="00266865" w:rsidRPr="00AD495C" w:rsidRDefault="00266865" w:rsidP="00AD495C">
      <w:pPr>
        <w:pStyle w:val="Titre4"/>
      </w:pPr>
      <w:r w:rsidRPr="00AD495C">
        <w:lastRenderedPageBreak/>
        <w:t>Test-Achats assigne Ethias en justice</w:t>
      </w:r>
    </w:p>
    <w:p w14:paraId="0693B641" w14:textId="77777777" w:rsidR="00266865" w:rsidRDefault="00266865" w:rsidP="00AD495C">
      <w:pPr>
        <w:jc w:val="both"/>
        <w:rPr>
          <w:b/>
          <w:i/>
        </w:rPr>
      </w:pPr>
    </w:p>
    <w:p w14:paraId="0693B642" w14:textId="77777777" w:rsidR="00266865" w:rsidRPr="00AD495C" w:rsidRDefault="00266865" w:rsidP="00AD495C">
      <w:pPr>
        <w:jc w:val="both"/>
        <w:rPr>
          <w:b/>
          <w:i/>
        </w:rPr>
      </w:pPr>
      <w:r w:rsidRPr="00AD495C">
        <w:rPr>
          <w:b/>
          <w:i/>
        </w:rPr>
        <w:t>14 novembre 2011</w:t>
      </w:r>
      <w:r>
        <w:rPr>
          <w:b/>
          <w:i/>
        </w:rPr>
        <w:t xml:space="preserve">- </w:t>
      </w:r>
      <w:r w:rsidRPr="00AD495C">
        <w:rPr>
          <w:b/>
          <w:i/>
        </w:rPr>
        <w:t>Le client qui compare se voit puni p</w:t>
      </w:r>
      <w:r>
        <w:rPr>
          <w:b/>
          <w:i/>
        </w:rPr>
        <w:t>ar une offre conjointe illégale</w:t>
      </w:r>
    </w:p>
    <w:p w14:paraId="0693B643" w14:textId="77777777" w:rsidR="00266865" w:rsidRPr="00AD495C" w:rsidRDefault="00266865" w:rsidP="00AD495C">
      <w:pPr>
        <w:jc w:val="both"/>
        <w:rPr>
          <w:i/>
        </w:rPr>
      </w:pPr>
    </w:p>
    <w:p w14:paraId="0693B644" w14:textId="77777777" w:rsidR="00266865" w:rsidRPr="00AD495C" w:rsidRDefault="00266865" w:rsidP="00AD495C">
      <w:pPr>
        <w:jc w:val="both"/>
        <w:rPr>
          <w:i/>
        </w:rPr>
      </w:pPr>
      <w:r w:rsidRPr="00AD495C">
        <w:rPr>
          <w:i/>
        </w:rPr>
        <w:t xml:space="preserve">Des membres de Test-Achats ont alarmé cet été l’organisation de consommateurs  du fait que leur assurance assistance auprès d’Ethias était augmentée de 45 % voire plus. Les raisons ? Ces personnes n’avaient qu’une seule assurance chez Ethias et l’assureur voulait réserver pour l’avenir le tarif le plus favorable à ses clients fidèles qui ont plus d’une assurance Ethias. Solution ? Souscrire davantage d’assurances auprès d’Ethias. Dans ce cas, l’assureur maintient son tarif préférentiel. Le consommateur actif qui compare et fait son shopping est clairement visé. </w:t>
      </w:r>
    </w:p>
    <w:p w14:paraId="0693B645" w14:textId="77777777" w:rsidR="00266865" w:rsidRPr="00AD495C" w:rsidRDefault="00266865" w:rsidP="00AD495C">
      <w:pPr>
        <w:jc w:val="both"/>
        <w:rPr>
          <w:i/>
        </w:rPr>
      </w:pPr>
      <w:r w:rsidRPr="00AD495C">
        <w:rPr>
          <w:i/>
        </w:rPr>
        <w:t xml:space="preserve"> </w:t>
      </w:r>
    </w:p>
    <w:p w14:paraId="0693B646" w14:textId="77777777" w:rsidR="00266865" w:rsidRPr="00AD495C" w:rsidRDefault="00266865" w:rsidP="00AD495C">
      <w:pPr>
        <w:jc w:val="both"/>
        <w:rPr>
          <w:i/>
        </w:rPr>
      </w:pPr>
      <w:r w:rsidRPr="00AD495C">
        <w:rPr>
          <w:i/>
        </w:rPr>
        <w:t>Cette pratique d’Ethias est en infraction avec la loi relative aux pratiques du marché et à la protection du consommateur et plus particulièrement avec les dispositions qui prohibent une offre conjointe de services financiers (comme les assurances). Le bénéfice d’un avantage pour un service financier ne peut être lié à l’obtention d’un autre service financier. C’est sur cette base que Test-Achats a mis Ethias en demeure. Mais l’assureur n’a pas jugé utile de répondre.</w:t>
      </w:r>
    </w:p>
    <w:p w14:paraId="0693B647" w14:textId="77777777" w:rsidR="00266865" w:rsidRPr="00AD495C" w:rsidRDefault="00266865" w:rsidP="00AD495C">
      <w:pPr>
        <w:jc w:val="both"/>
        <w:rPr>
          <w:i/>
        </w:rPr>
      </w:pPr>
      <w:r w:rsidRPr="00AD495C">
        <w:rPr>
          <w:i/>
        </w:rPr>
        <w:t xml:space="preserve"> </w:t>
      </w:r>
    </w:p>
    <w:p w14:paraId="0693B648" w14:textId="77777777" w:rsidR="00266865" w:rsidRDefault="00266865" w:rsidP="00AD495C">
      <w:pPr>
        <w:jc w:val="both"/>
        <w:rPr>
          <w:i/>
        </w:rPr>
      </w:pPr>
      <w:r w:rsidRPr="00AD495C">
        <w:rPr>
          <w:i/>
        </w:rPr>
        <w:t>Test-Achats a alors décidé d’assigner Ethias devant le Président du Tribunal de Commerce de Liège siégeant comme en référé. L’action en cessation menée par l’organisation de consommateurs vise à faire constater par le Président que la pratique d’Ethias est illégale et par conséquent en ordonner la cessation et ceci sous peine d’une astreinte de 25.000 EUR par jour de retard.</w:t>
      </w:r>
      <w:r>
        <w:rPr>
          <w:rStyle w:val="Appelnotedebasdep"/>
          <w:i/>
        </w:rPr>
        <w:footnoteReference w:id="31"/>
      </w:r>
    </w:p>
    <w:p w14:paraId="0693B649" w14:textId="77777777" w:rsidR="00266865" w:rsidRPr="00636C01" w:rsidRDefault="00266865" w:rsidP="00636C01">
      <w:pPr>
        <w:pStyle w:val="Titre4"/>
      </w:pPr>
      <w:r w:rsidRPr="00636C01">
        <w:t>Vente couplée illégale de GSM avec assurance</w:t>
      </w:r>
    </w:p>
    <w:p w14:paraId="0693B64A" w14:textId="77777777" w:rsidR="00266865" w:rsidRPr="00636C01" w:rsidRDefault="00266865" w:rsidP="00636C01">
      <w:pPr>
        <w:jc w:val="both"/>
        <w:rPr>
          <w:b/>
          <w:i/>
        </w:rPr>
      </w:pPr>
      <w:r w:rsidRPr="00636C01">
        <w:rPr>
          <w:b/>
          <w:i/>
        </w:rPr>
        <w:t>5 novembre 2010</w:t>
      </w:r>
      <w:r>
        <w:rPr>
          <w:b/>
          <w:i/>
        </w:rPr>
        <w:t xml:space="preserve"> - </w:t>
      </w:r>
      <w:r w:rsidRPr="00636C01">
        <w:rPr>
          <w:b/>
          <w:i/>
        </w:rPr>
        <w:t>Test-Achats porte plainte contre The Phone House, Bel Company et Media Markt pour vente couplée illégale d’u</w:t>
      </w:r>
      <w:r>
        <w:rPr>
          <w:b/>
          <w:i/>
        </w:rPr>
        <w:t>ne assurance à l’achat d’un GSM</w:t>
      </w:r>
    </w:p>
    <w:p w14:paraId="0693B64B" w14:textId="77777777" w:rsidR="00266865" w:rsidRDefault="00266865" w:rsidP="00636C01">
      <w:pPr>
        <w:jc w:val="both"/>
        <w:rPr>
          <w:i/>
        </w:rPr>
      </w:pPr>
    </w:p>
    <w:p w14:paraId="0693B64C" w14:textId="77777777" w:rsidR="00266865" w:rsidRPr="00636C01" w:rsidRDefault="00266865" w:rsidP="00636C01">
      <w:pPr>
        <w:jc w:val="both"/>
        <w:rPr>
          <w:i/>
        </w:rPr>
      </w:pPr>
      <w:r w:rsidRPr="00636C01">
        <w:rPr>
          <w:i/>
        </w:rPr>
        <w:t xml:space="preserve">Nous portons plainte contre les sociétés The Phone House, Bel Company et Media Markt, qui font de la vente conjointe en vendant un GSM ou un Smartphone avec une assurance contre le vol, les dégâts, l’oxydation, les appels frauduleux, etc. </w:t>
      </w:r>
    </w:p>
    <w:p w14:paraId="0693B64D" w14:textId="77777777" w:rsidR="00266865" w:rsidRPr="00636C01" w:rsidRDefault="00266865" w:rsidP="00636C01">
      <w:pPr>
        <w:jc w:val="both"/>
        <w:rPr>
          <w:i/>
        </w:rPr>
      </w:pPr>
      <w:r w:rsidRPr="00636C01">
        <w:rPr>
          <w:i/>
        </w:rPr>
        <w:t xml:space="preserve"> </w:t>
      </w:r>
    </w:p>
    <w:p w14:paraId="0693B64E" w14:textId="77777777" w:rsidR="00266865" w:rsidRPr="00636C01" w:rsidRDefault="00266865" w:rsidP="00636C01">
      <w:pPr>
        <w:jc w:val="both"/>
        <w:rPr>
          <w:b/>
          <w:i/>
        </w:rPr>
      </w:pPr>
      <w:r w:rsidRPr="00636C01">
        <w:rPr>
          <w:b/>
          <w:i/>
        </w:rPr>
        <w:t>Vente couplée interdite par la loi</w:t>
      </w:r>
    </w:p>
    <w:p w14:paraId="0693B64F" w14:textId="77777777" w:rsidR="00266865" w:rsidRPr="00636C01" w:rsidRDefault="00266865" w:rsidP="00636C01">
      <w:pPr>
        <w:jc w:val="both"/>
        <w:rPr>
          <w:i/>
        </w:rPr>
      </w:pPr>
      <w:r w:rsidRPr="00636C01">
        <w:rPr>
          <w:i/>
        </w:rPr>
        <w:t xml:space="preserve">Les pratiques de ces firmes consistant à vendre au consommateur un GSM ou un smartphone avec une telle assurance constituent une violation flagrante de l’article 72 § 1 de la loi du 6 avril 2010 relative aux pratiques du marché et à la protection du consommateur : «Toute offre conjointe au consommateur, dont au moins un des éléments constitue un service financier (…) est interdite.» </w:t>
      </w:r>
    </w:p>
    <w:p w14:paraId="0693B650" w14:textId="77777777" w:rsidR="00266865" w:rsidRPr="00636C01" w:rsidRDefault="00266865" w:rsidP="00636C01">
      <w:pPr>
        <w:jc w:val="both"/>
        <w:rPr>
          <w:i/>
        </w:rPr>
      </w:pPr>
      <w:r w:rsidRPr="00636C01">
        <w:rPr>
          <w:i/>
        </w:rPr>
        <w:t xml:space="preserve">Cette même loi prévoit que les assurances sont définies comme «service financier». </w:t>
      </w:r>
    </w:p>
    <w:p w14:paraId="0693B651" w14:textId="77777777" w:rsidR="00266865" w:rsidRPr="00636C01" w:rsidRDefault="00266865" w:rsidP="00636C01">
      <w:pPr>
        <w:jc w:val="both"/>
        <w:rPr>
          <w:i/>
        </w:rPr>
      </w:pPr>
      <w:r w:rsidRPr="00636C01">
        <w:rPr>
          <w:i/>
        </w:rPr>
        <w:t>Aucune des dérogations ne légitime les pratiques de ces entreprises qui couplent une assurance à l’achat d’un GSM.</w:t>
      </w:r>
    </w:p>
    <w:p w14:paraId="0693B652" w14:textId="77777777" w:rsidR="00266865" w:rsidRPr="00636C01" w:rsidRDefault="00266865" w:rsidP="00636C01">
      <w:pPr>
        <w:jc w:val="both"/>
        <w:rPr>
          <w:i/>
        </w:rPr>
      </w:pPr>
      <w:r w:rsidRPr="00636C01">
        <w:rPr>
          <w:i/>
        </w:rPr>
        <w:t xml:space="preserve"> </w:t>
      </w:r>
    </w:p>
    <w:p w14:paraId="0693B653" w14:textId="77777777" w:rsidR="00266865" w:rsidRPr="00636C01" w:rsidRDefault="00266865" w:rsidP="00636C01">
      <w:pPr>
        <w:jc w:val="both"/>
        <w:rPr>
          <w:b/>
          <w:i/>
        </w:rPr>
      </w:pPr>
      <w:r w:rsidRPr="00636C01">
        <w:rPr>
          <w:b/>
          <w:i/>
        </w:rPr>
        <w:t>Plainte de Test-Achats</w:t>
      </w:r>
    </w:p>
    <w:p w14:paraId="0693B654" w14:textId="77777777" w:rsidR="00266865" w:rsidRPr="00FF4F3C" w:rsidRDefault="00266865" w:rsidP="00636C01">
      <w:pPr>
        <w:jc w:val="both"/>
        <w:rPr>
          <w:i/>
        </w:rPr>
      </w:pPr>
      <w:r w:rsidRPr="00636C01">
        <w:rPr>
          <w:i/>
        </w:rPr>
        <w:t>Des réclamations continuent d’affluer chez Test-Achats à ce sujet. Nous avons dès lors décidé de porter plainte auprès du SPF Economie, Direction générale du contrôle et de la médiation (l’ancienne Inspection économique), d’autant que l’assurance est dépouillée de son contenu dans de nombreux cas.</w:t>
      </w:r>
      <w:r>
        <w:rPr>
          <w:rStyle w:val="Appelnotedebasdep"/>
          <w:i/>
        </w:rPr>
        <w:footnoteReference w:id="32"/>
      </w:r>
    </w:p>
    <w:p w14:paraId="0693B655" w14:textId="77777777" w:rsidR="00266865" w:rsidRDefault="00266865" w:rsidP="00105A84">
      <w:pPr>
        <w:pStyle w:val="Titre2"/>
      </w:pPr>
      <w:bookmarkStart w:id="270" w:name="_Toc482815624"/>
      <w:r>
        <w:lastRenderedPageBreak/>
        <w:t>Clauses contractuelles abusives</w:t>
      </w:r>
      <w:bookmarkEnd w:id="270"/>
      <w:r>
        <w:t xml:space="preserve"> </w:t>
      </w:r>
    </w:p>
    <w:p w14:paraId="0693B656" w14:textId="77777777" w:rsidR="00266865" w:rsidRDefault="00266865" w:rsidP="009C7412">
      <w:pPr>
        <w:pStyle w:val="Titre3"/>
      </w:pPr>
      <w:bookmarkStart w:id="271" w:name="_Toc322455060"/>
      <w:bookmarkStart w:id="272" w:name="_Toc482815625"/>
      <w:r w:rsidRPr="009C7412">
        <w:t>Sources de droit</w:t>
      </w:r>
      <w:bookmarkEnd w:id="271"/>
      <w:bookmarkEnd w:id="272"/>
    </w:p>
    <w:p w14:paraId="0693B657" w14:textId="77777777" w:rsidR="00266865" w:rsidRDefault="007625DA" w:rsidP="009C7412">
      <w:pPr>
        <w:pStyle w:val="Titre4"/>
        <w:rPr>
          <w:lang w:eastAsia="en-US"/>
        </w:rPr>
      </w:pPr>
      <w:bookmarkStart w:id="273" w:name="_Toc322455061"/>
      <w:r>
        <w:t>Code de droit économique</w:t>
      </w:r>
    </w:p>
    <w:bookmarkEnd w:id="273"/>
    <w:p w14:paraId="0693B658" w14:textId="77777777" w:rsidR="007625DA" w:rsidRDefault="007625DA" w:rsidP="007625DA">
      <w:r>
        <w:t>31/05/2014</w:t>
      </w:r>
      <w:r w:rsidRPr="002E3438">
        <w:t xml:space="preserve"> </w:t>
      </w:r>
      <w:r>
        <w:t>–</w:t>
      </w:r>
      <w:r w:rsidRPr="002E3438">
        <w:t xml:space="preserve"> </w:t>
      </w:r>
      <w:r>
        <w:t>Code de Droit économique – Livre VI sur les</w:t>
      </w:r>
      <w:r w:rsidRPr="002E3438">
        <w:t xml:space="preserve"> pratiques du marché et </w:t>
      </w:r>
      <w:r>
        <w:t>la protection du consommateur (chapitre 6)</w:t>
      </w:r>
    </w:p>
    <w:p w14:paraId="0693B659" w14:textId="77777777" w:rsidR="00266865" w:rsidRDefault="007625DA" w:rsidP="009C7412">
      <w:pPr>
        <w:pStyle w:val="Titre4"/>
      </w:pPr>
      <w:bookmarkStart w:id="274" w:name="_Toc322455062"/>
      <w:r w:rsidRPr="009C7412">
        <w:t>Directive 93/13/C</w:t>
      </w:r>
      <w:r>
        <w:t>EE</w:t>
      </w:r>
      <w:r w:rsidRPr="009C7412">
        <w:t xml:space="preserve"> </w:t>
      </w:r>
    </w:p>
    <w:p w14:paraId="0693B65A" w14:textId="77777777" w:rsidR="00266865" w:rsidRPr="009C7412" w:rsidRDefault="00266865" w:rsidP="009C7412">
      <w:pPr>
        <w:jc w:val="both"/>
      </w:pPr>
      <w:r>
        <w:t>Directive du Conseil</w:t>
      </w:r>
      <w:r w:rsidRPr="009C7412">
        <w:t xml:space="preserve"> du 5 avril 1993 concernant les clauses abusives dans les contrats conclus avec les consommateurs</w:t>
      </w:r>
      <w:bookmarkEnd w:id="274"/>
      <w:r w:rsidR="007625DA">
        <w:t>.</w:t>
      </w:r>
    </w:p>
    <w:p w14:paraId="0693B65B" w14:textId="77777777" w:rsidR="00266865" w:rsidRDefault="00266865" w:rsidP="009C7412">
      <w:pPr>
        <w:pStyle w:val="Titre3"/>
      </w:pPr>
      <w:bookmarkStart w:id="275" w:name="_Toc322455063"/>
      <w:bookmarkStart w:id="276" w:name="_Toc482815626"/>
      <w:r>
        <w:t>Explication et synthèse du sujet</w:t>
      </w:r>
      <w:bookmarkEnd w:id="275"/>
      <w:bookmarkEnd w:id="276"/>
    </w:p>
    <w:p w14:paraId="0693B65C" w14:textId="77777777" w:rsidR="00266865" w:rsidRDefault="00266865" w:rsidP="009C7412">
      <w:pPr>
        <w:pStyle w:val="Titre4"/>
        <w:rPr>
          <w:lang w:eastAsia="en-US"/>
        </w:rPr>
      </w:pPr>
      <w:bookmarkStart w:id="277" w:name="_Toc322455064"/>
      <w:r>
        <w:t>Rappel : le c</w:t>
      </w:r>
      <w:r>
        <w:rPr>
          <w:szCs w:val="32"/>
        </w:rPr>
        <w:t>ontrat</w:t>
      </w:r>
      <w:bookmarkEnd w:id="277"/>
    </w:p>
    <w:p w14:paraId="0693B65D" w14:textId="77777777" w:rsidR="00266865" w:rsidRDefault="00266865" w:rsidP="009C7412">
      <w:pPr>
        <w:rPr>
          <w:szCs w:val="22"/>
          <w:lang w:eastAsia="fr-BE"/>
        </w:rPr>
      </w:pPr>
    </w:p>
    <w:p w14:paraId="0693B65E"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xml:space="preserve">L'article 1101 C. civil en donne une définition : </w:t>
      </w:r>
    </w:p>
    <w:p w14:paraId="0693B65F"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p>
    <w:p w14:paraId="0693B660"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Le contrat est une convention par laquelle une ou plusieurs parties s’obligent, envers une ou plusieurs autres, à donner, à faire ou à ne pas faire quelque chose ».</w:t>
      </w:r>
      <w:r w:rsidRPr="009C7412">
        <w:rPr>
          <w:rStyle w:val="Appelnotedebasdep"/>
          <w:rFonts w:ascii="Trebuchet MS" w:hAnsi="Trebuchet MS" w:cs="Arial"/>
          <w:color w:val="000000"/>
          <w:sz w:val="20"/>
          <w:szCs w:val="20"/>
        </w:rPr>
        <w:footnoteReference w:id="33"/>
      </w:r>
    </w:p>
    <w:p w14:paraId="0693B661"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p>
    <w:p w14:paraId="0693B662"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xml:space="preserve">L’article 1108 C.civil mentionne les conditions indispensables à la validité d’un contrat : </w:t>
      </w:r>
    </w:p>
    <w:p w14:paraId="0693B663"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p>
    <w:p w14:paraId="0693B664"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Quatre conditions sont essentielles pour la validité d'une convention :</w:t>
      </w:r>
    </w:p>
    <w:p w14:paraId="0693B665" w14:textId="77777777" w:rsidR="00266865" w:rsidRPr="009C7412" w:rsidRDefault="00266865" w:rsidP="009C7412">
      <w:pPr>
        <w:pStyle w:val="NormalWeb"/>
        <w:spacing w:before="0" w:beforeAutospacing="0" w:after="0" w:afterAutospacing="0"/>
        <w:ind w:firstLine="708"/>
        <w:jc w:val="both"/>
        <w:rPr>
          <w:rFonts w:ascii="Trebuchet MS" w:hAnsi="Trebuchet MS" w:cs="Arial"/>
          <w:color w:val="000000"/>
          <w:sz w:val="20"/>
          <w:szCs w:val="20"/>
        </w:rPr>
      </w:pPr>
      <w:r w:rsidRPr="009C7412">
        <w:rPr>
          <w:rFonts w:ascii="Trebuchet MS" w:hAnsi="Trebuchet MS" w:cs="Arial"/>
          <w:color w:val="000000"/>
          <w:sz w:val="20"/>
          <w:szCs w:val="20"/>
        </w:rPr>
        <w:t>- Le consentement de la partie qui s'oblige;</w:t>
      </w:r>
    </w:p>
    <w:p w14:paraId="0693B666"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xml:space="preserve">  </w:t>
      </w:r>
      <w:r w:rsidRPr="009C7412">
        <w:rPr>
          <w:rFonts w:ascii="Trebuchet MS" w:hAnsi="Trebuchet MS" w:cs="Arial"/>
          <w:color w:val="000000"/>
          <w:sz w:val="20"/>
          <w:szCs w:val="20"/>
        </w:rPr>
        <w:tab/>
        <w:t>- Sa capacité de contracter;</w:t>
      </w:r>
    </w:p>
    <w:p w14:paraId="0693B667"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xml:space="preserve">  </w:t>
      </w:r>
      <w:r w:rsidRPr="009C7412">
        <w:rPr>
          <w:rFonts w:ascii="Trebuchet MS" w:hAnsi="Trebuchet MS" w:cs="Arial"/>
          <w:color w:val="000000"/>
          <w:sz w:val="20"/>
          <w:szCs w:val="20"/>
        </w:rPr>
        <w:tab/>
        <w:t>- Un objet certain qui forme la matière de l'engagement;</w:t>
      </w:r>
    </w:p>
    <w:p w14:paraId="0693B668" w14:textId="77777777" w:rsidR="00266865" w:rsidRPr="009C7412" w:rsidRDefault="00266865" w:rsidP="009C7412">
      <w:pPr>
        <w:pStyle w:val="NormalWeb"/>
        <w:spacing w:before="0" w:beforeAutospacing="0" w:after="0" w:afterAutospacing="0"/>
        <w:jc w:val="both"/>
        <w:rPr>
          <w:rFonts w:ascii="Trebuchet MS" w:hAnsi="Trebuchet MS" w:cs="Arial"/>
          <w:color w:val="000000"/>
          <w:sz w:val="20"/>
          <w:szCs w:val="20"/>
        </w:rPr>
      </w:pPr>
      <w:r w:rsidRPr="009C7412">
        <w:rPr>
          <w:rFonts w:ascii="Trebuchet MS" w:hAnsi="Trebuchet MS" w:cs="Arial"/>
          <w:color w:val="000000"/>
          <w:sz w:val="20"/>
          <w:szCs w:val="20"/>
        </w:rPr>
        <w:t xml:space="preserve">  </w:t>
      </w:r>
      <w:r w:rsidRPr="009C7412">
        <w:rPr>
          <w:rFonts w:ascii="Trebuchet MS" w:hAnsi="Trebuchet MS" w:cs="Arial"/>
          <w:color w:val="000000"/>
          <w:sz w:val="20"/>
          <w:szCs w:val="20"/>
        </w:rPr>
        <w:tab/>
        <w:t>- Une cause licite dans l'obligation. »</w:t>
      </w:r>
      <w:r w:rsidRPr="009C7412">
        <w:rPr>
          <w:rStyle w:val="Appelnotedebasdep"/>
          <w:rFonts w:ascii="Trebuchet MS" w:hAnsi="Trebuchet MS" w:cs="Arial"/>
          <w:color w:val="000000"/>
          <w:sz w:val="20"/>
          <w:szCs w:val="20"/>
        </w:rPr>
        <w:footnoteReference w:id="34"/>
      </w:r>
    </w:p>
    <w:p w14:paraId="0693B669" w14:textId="77777777" w:rsidR="00266865" w:rsidRPr="009C7412" w:rsidRDefault="00266865" w:rsidP="009C7412">
      <w:pPr>
        <w:pStyle w:val="Titre4"/>
      </w:pPr>
      <w:bookmarkStart w:id="278" w:name="_Toc322455065"/>
      <w:r w:rsidRPr="009C7412">
        <w:t>Clause contractuelle abusive</w:t>
      </w:r>
      <w:bookmarkEnd w:id="278"/>
    </w:p>
    <w:p w14:paraId="0693B66A" w14:textId="77777777" w:rsidR="00266865" w:rsidRPr="009C7412" w:rsidRDefault="00266865" w:rsidP="009C7412">
      <w:pPr>
        <w:jc w:val="both"/>
        <w:rPr>
          <w:rFonts w:cs="Arial"/>
          <w:color w:val="313F4B"/>
          <w:szCs w:val="20"/>
          <w:lang w:eastAsia="en-US"/>
        </w:rPr>
      </w:pPr>
      <w:r w:rsidRPr="009C7412">
        <w:rPr>
          <w:rFonts w:cs="Arial"/>
          <w:bCs/>
          <w:color w:val="444444"/>
          <w:szCs w:val="20"/>
          <w:lang w:eastAsia="fr-BE"/>
        </w:rPr>
        <w:t xml:space="preserve">Lors de la conclusion d’un contrat, les clauses de ce contrat sont en principe acceptées par les cocontractants. </w:t>
      </w:r>
      <w:r w:rsidRPr="009C7412">
        <w:rPr>
          <w:rFonts w:cs="Arial"/>
          <w:color w:val="313F4B"/>
          <w:szCs w:val="20"/>
        </w:rPr>
        <w:t>Les clauses contractuelles définissent les droits et les devoirs des parties qui y sont soumises. Les vendeurs ont un avantage sur les consommateurs étant donné que ce sont eux qui définissent les conditions générales des contrats (les conditions qui ne sont pas négociées individuellement). La législation sur les clauses contractuelles entend protéger le consommateur.</w:t>
      </w:r>
    </w:p>
    <w:p w14:paraId="0693B66B" w14:textId="77777777" w:rsidR="00266865" w:rsidRPr="009C7412" w:rsidRDefault="00266865" w:rsidP="009C7412">
      <w:pPr>
        <w:jc w:val="both"/>
        <w:rPr>
          <w:rFonts w:cs="Arial"/>
          <w:bCs/>
          <w:color w:val="444444"/>
          <w:szCs w:val="20"/>
          <w:lang w:eastAsia="fr-BE"/>
        </w:rPr>
      </w:pPr>
    </w:p>
    <w:p w14:paraId="0693B66C" w14:textId="77777777" w:rsidR="00266865" w:rsidRPr="009C7412" w:rsidRDefault="00266865" w:rsidP="009C7412">
      <w:pPr>
        <w:jc w:val="both"/>
        <w:rPr>
          <w:rFonts w:cs="Arial"/>
          <w:bCs/>
          <w:color w:val="444444"/>
          <w:szCs w:val="20"/>
          <w:lang w:eastAsia="fr-BE"/>
        </w:rPr>
      </w:pPr>
      <w:r w:rsidRPr="009C7412">
        <w:rPr>
          <w:rFonts w:cs="Arial"/>
          <w:bCs/>
          <w:color w:val="444444"/>
          <w:szCs w:val="20"/>
          <w:lang w:eastAsia="fr-BE"/>
        </w:rPr>
        <w:t xml:space="preserve">L’entreprise avec laquelle on contracte doit fournir toutes les informations utiles concernant le produit ou service ainsi que concernant les conditions générales. Il s’agit là d’une obligation consacrée par l’article 4 de la loi relative aux pratiques du marché et à la protection du consommateur. </w:t>
      </w:r>
      <w:r w:rsidRPr="009C7412">
        <w:rPr>
          <w:rStyle w:val="Appelnotedebasdep"/>
          <w:rFonts w:eastAsia="Calibri" w:cs="Arial"/>
          <w:bCs/>
          <w:color w:val="444444"/>
          <w:szCs w:val="20"/>
          <w:lang w:eastAsia="fr-BE"/>
        </w:rPr>
        <w:footnoteReference w:id="35"/>
      </w:r>
    </w:p>
    <w:p w14:paraId="0693B66D" w14:textId="77777777" w:rsidR="00266865" w:rsidRPr="009C7412" w:rsidRDefault="00266865" w:rsidP="009C7412">
      <w:pPr>
        <w:jc w:val="both"/>
        <w:rPr>
          <w:rFonts w:cs="Arial"/>
          <w:bCs/>
          <w:color w:val="444444"/>
          <w:szCs w:val="20"/>
          <w:lang w:eastAsia="fr-BE"/>
        </w:rPr>
      </w:pPr>
    </w:p>
    <w:p w14:paraId="0693B66E" w14:textId="77777777" w:rsidR="00266865" w:rsidRPr="009C7412" w:rsidRDefault="00266865" w:rsidP="009C7412">
      <w:pPr>
        <w:jc w:val="both"/>
        <w:rPr>
          <w:rFonts w:cs="Arial"/>
          <w:bCs/>
          <w:color w:val="444444"/>
          <w:szCs w:val="20"/>
          <w:lang w:eastAsia="fr-BE"/>
        </w:rPr>
      </w:pPr>
      <w:r w:rsidRPr="009C7412">
        <w:rPr>
          <w:rFonts w:cs="Arial"/>
          <w:bCs/>
          <w:color w:val="444444"/>
          <w:szCs w:val="20"/>
          <w:lang w:eastAsia="fr-BE"/>
        </w:rPr>
        <w:lastRenderedPageBreak/>
        <w:t>Notons qu’en Belgique, il existe la Commission des Clauses Abusives. Celle-ci tient à rappeler que les dispositions relatives aux clauses contractuelles sont en lien étroit avec les règles relatives à l’information du consommateur.</w:t>
      </w:r>
    </w:p>
    <w:p w14:paraId="0693B66F" w14:textId="77777777" w:rsidR="00266865" w:rsidRPr="009C7412" w:rsidRDefault="00266865" w:rsidP="009C7412">
      <w:pPr>
        <w:jc w:val="both"/>
        <w:rPr>
          <w:rFonts w:cs="Arial"/>
          <w:bCs/>
          <w:color w:val="444444"/>
          <w:szCs w:val="20"/>
          <w:lang w:eastAsia="fr-BE"/>
        </w:rPr>
      </w:pPr>
    </w:p>
    <w:p w14:paraId="0693B670" w14:textId="77777777" w:rsidR="00266865" w:rsidRPr="009C7412" w:rsidRDefault="00266865" w:rsidP="009C7412">
      <w:pPr>
        <w:jc w:val="both"/>
        <w:rPr>
          <w:rFonts w:cs="Arial"/>
          <w:bCs/>
          <w:color w:val="444444"/>
          <w:szCs w:val="20"/>
          <w:lang w:eastAsia="fr-BE"/>
        </w:rPr>
      </w:pPr>
      <w:r w:rsidRPr="009C7412">
        <w:rPr>
          <w:rFonts w:cs="Arial"/>
          <w:bCs/>
          <w:color w:val="444444"/>
          <w:szCs w:val="20"/>
          <w:lang w:eastAsia="fr-BE"/>
        </w:rPr>
        <w:t xml:space="preserve">La loi du 6 avril 2010 en son article 2, 28° définit la clause abusive comme étant : </w:t>
      </w:r>
    </w:p>
    <w:p w14:paraId="0693B671" w14:textId="77777777" w:rsidR="00266865" w:rsidRPr="009C7412" w:rsidRDefault="00266865" w:rsidP="009C7412">
      <w:pPr>
        <w:jc w:val="both"/>
        <w:rPr>
          <w:rFonts w:cs="Arial"/>
          <w:bCs/>
          <w:szCs w:val="20"/>
          <w:lang w:eastAsia="en-US"/>
        </w:rPr>
      </w:pPr>
      <w:r w:rsidRPr="009C7412">
        <w:rPr>
          <w:rFonts w:cs="Arial"/>
          <w:bCs/>
          <w:szCs w:val="20"/>
        </w:rPr>
        <w:t>« (…) toute clause ou toute condition dans un contrat entre une entreprise et un consommateur qui, à elle seule ou combinée avec une ou plusieurs autres clauses ou conditions, crée un déséquilibre manifeste entre les droits et les obligations des parties au détriment du consommateur »</w:t>
      </w:r>
      <w:r w:rsidRPr="009C7412">
        <w:rPr>
          <w:rStyle w:val="Appelnotedebasdep"/>
          <w:rFonts w:eastAsia="Calibri" w:cs="Arial"/>
          <w:bCs/>
          <w:szCs w:val="20"/>
        </w:rPr>
        <w:footnoteReference w:id="36"/>
      </w:r>
    </w:p>
    <w:p w14:paraId="0693B672" w14:textId="77777777" w:rsidR="00266865" w:rsidRPr="009C7412" w:rsidRDefault="00266865" w:rsidP="009C7412">
      <w:pPr>
        <w:jc w:val="both"/>
        <w:rPr>
          <w:rFonts w:cs="Arial"/>
          <w:bCs/>
          <w:szCs w:val="20"/>
        </w:rPr>
      </w:pPr>
    </w:p>
    <w:p w14:paraId="0693B673" w14:textId="77777777" w:rsidR="00266865" w:rsidRPr="009C7412" w:rsidRDefault="00266865" w:rsidP="009C7412">
      <w:pPr>
        <w:jc w:val="both"/>
        <w:rPr>
          <w:rFonts w:cs="Arial"/>
          <w:bCs/>
          <w:szCs w:val="20"/>
          <w:lang w:eastAsia="fr-BE"/>
        </w:rPr>
      </w:pPr>
      <w:r w:rsidRPr="009C7412">
        <w:rPr>
          <w:rFonts w:cs="Arial"/>
          <w:bCs/>
          <w:szCs w:val="20"/>
          <w:lang w:eastAsia="fr-BE"/>
        </w:rPr>
        <w:t xml:space="preserve">La qualité abusive ou non d’une clause contractuelle s’apprécie en tenant compte de toutes les clauses du contrat,  des circonstances entourant la conclusion du contrat, des éventuels contrats auxquels le contrat en question est lié ainsi que de la nature même du contrat Les clauses contractuelles déterminent les droits et obligations auxquelles sont tenues les parties. </w:t>
      </w:r>
    </w:p>
    <w:p w14:paraId="0693B674" w14:textId="77777777" w:rsidR="00266865" w:rsidRPr="009C7412" w:rsidRDefault="00266865" w:rsidP="009C7412">
      <w:pPr>
        <w:jc w:val="both"/>
        <w:rPr>
          <w:rFonts w:cs="Arial"/>
          <w:bCs/>
          <w:color w:val="444444"/>
          <w:szCs w:val="20"/>
          <w:lang w:eastAsia="fr-BE"/>
        </w:rPr>
      </w:pPr>
      <w:r w:rsidRPr="009C7412">
        <w:rPr>
          <w:rFonts w:cs="Arial"/>
          <w:bCs/>
          <w:color w:val="444444"/>
          <w:szCs w:val="20"/>
          <w:lang w:eastAsia="fr-BE"/>
        </w:rPr>
        <w:t xml:space="preserve">. </w:t>
      </w:r>
    </w:p>
    <w:p w14:paraId="0693B675" w14:textId="77777777" w:rsidR="00266865" w:rsidRPr="009C7412" w:rsidRDefault="00266865" w:rsidP="009C7412">
      <w:pPr>
        <w:jc w:val="both"/>
        <w:rPr>
          <w:rFonts w:cs="Arial"/>
          <w:bCs/>
          <w:szCs w:val="20"/>
          <w:lang w:eastAsia="fr-BE"/>
        </w:rPr>
      </w:pPr>
      <w:r w:rsidRPr="009C7412">
        <w:rPr>
          <w:rFonts w:cs="Arial"/>
          <w:bCs/>
          <w:szCs w:val="20"/>
          <w:lang w:eastAsia="fr-BE"/>
        </w:rPr>
        <w:t xml:space="preserve">Cependant, on ne tient pas compte de la définition de l’objet principal du contrat, de l’adéquation entre le prix ou la rémunération et le bien ou le service fournit sauf si ces clauses sont rédigées de manière inintelligible. </w:t>
      </w:r>
    </w:p>
    <w:p w14:paraId="0693B676" w14:textId="77777777" w:rsidR="00266865" w:rsidRPr="009C7412" w:rsidRDefault="00266865" w:rsidP="009C7412">
      <w:pPr>
        <w:jc w:val="both"/>
        <w:rPr>
          <w:rFonts w:cs="Arial"/>
          <w:bCs/>
          <w:color w:val="444444"/>
          <w:szCs w:val="20"/>
          <w:lang w:eastAsia="fr-BE"/>
        </w:rPr>
      </w:pPr>
    </w:p>
    <w:p w14:paraId="0693B677" w14:textId="77777777" w:rsidR="00266865" w:rsidRPr="009C7412" w:rsidRDefault="00266865" w:rsidP="009C7412">
      <w:pPr>
        <w:jc w:val="both"/>
        <w:rPr>
          <w:rFonts w:cs="Arial"/>
          <w:bCs/>
          <w:szCs w:val="20"/>
          <w:lang w:eastAsia="fr-BE"/>
        </w:rPr>
      </w:pPr>
      <w:r w:rsidRPr="009C7412">
        <w:rPr>
          <w:rFonts w:cs="Arial"/>
          <w:bCs/>
          <w:szCs w:val="20"/>
          <w:lang w:eastAsia="fr-BE"/>
        </w:rPr>
        <w:t xml:space="preserve">Une clause est reconnue abusive si elle avantage de façon patente le vendeur aux dépens du consommateur. On trouve à l’article 74 de la loi relative aux pratiques de marché et à la protection du consommateur, une liste de clauses qui sont interdites. Cette liste non-exhaustive reprend quelques clauses réputées comme étant abusives et donc considérées comme interdites et nulles : </w:t>
      </w:r>
    </w:p>
    <w:p w14:paraId="0693B678" w14:textId="77777777" w:rsidR="00266865" w:rsidRPr="009C7412" w:rsidRDefault="00266865" w:rsidP="009C7412">
      <w:pPr>
        <w:jc w:val="both"/>
        <w:rPr>
          <w:rFonts w:cs="Arial"/>
          <w:bCs/>
          <w:color w:val="444444"/>
          <w:szCs w:val="20"/>
          <w:lang w:eastAsia="fr-BE"/>
        </w:rPr>
      </w:pPr>
    </w:p>
    <w:p w14:paraId="0693B679" w14:textId="77777777" w:rsidR="00266865" w:rsidRPr="009C7412" w:rsidRDefault="00266865" w:rsidP="0086187F">
      <w:pPr>
        <w:pStyle w:val="Paragraphedeliste1"/>
        <w:numPr>
          <w:ilvl w:val="0"/>
          <w:numId w:val="64"/>
        </w:numPr>
        <w:spacing w:after="0" w:line="240" w:lineRule="auto"/>
        <w:jc w:val="both"/>
        <w:rPr>
          <w:rFonts w:ascii="Trebuchet MS" w:hAnsi="Trebuchet MS" w:cs="Arial"/>
          <w:sz w:val="20"/>
          <w:szCs w:val="20"/>
          <w:lang w:val="fr-FR"/>
        </w:rPr>
      </w:pPr>
      <w:r w:rsidRPr="009C7412">
        <w:rPr>
          <w:rFonts w:ascii="Trebuchet MS" w:hAnsi="Trebuchet MS" w:cs="Arial"/>
          <w:sz w:val="20"/>
          <w:szCs w:val="20"/>
          <w:lang w:val="fr-FR"/>
        </w:rPr>
        <w:t xml:space="preserve">Les clauses prévoyant l’augmentation du prix par une décision unilatérale du vendeur ; </w:t>
      </w:r>
    </w:p>
    <w:p w14:paraId="0693B67A" w14:textId="77777777" w:rsidR="00266865" w:rsidRPr="009C7412" w:rsidRDefault="00266865" w:rsidP="009C7412">
      <w:pPr>
        <w:pStyle w:val="Paragraphedeliste1"/>
        <w:spacing w:after="0" w:line="240" w:lineRule="auto"/>
        <w:jc w:val="both"/>
        <w:rPr>
          <w:rFonts w:ascii="Trebuchet MS" w:hAnsi="Trebuchet MS" w:cs="Arial"/>
          <w:sz w:val="20"/>
          <w:szCs w:val="20"/>
          <w:lang w:val="fr-FR"/>
        </w:rPr>
      </w:pPr>
    </w:p>
    <w:p w14:paraId="0693B67B" w14:textId="77777777" w:rsidR="00266865" w:rsidRPr="009C7412" w:rsidRDefault="00266865" w:rsidP="0086187F">
      <w:pPr>
        <w:pStyle w:val="Paragraphedeliste1"/>
        <w:numPr>
          <w:ilvl w:val="0"/>
          <w:numId w:val="64"/>
        </w:numPr>
        <w:spacing w:after="0" w:line="240" w:lineRule="auto"/>
        <w:jc w:val="both"/>
        <w:rPr>
          <w:rFonts w:ascii="Trebuchet MS" w:hAnsi="Trebuchet MS" w:cs="Arial"/>
          <w:sz w:val="20"/>
          <w:szCs w:val="20"/>
          <w:lang w:val="fr-FR"/>
        </w:rPr>
      </w:pPr>
      <w:r w:rsidRPr="009C7412">
        <w:rPr>
          <w:rFonts w:ascii="Trebuchet MS" w:hAnsi="Trebuchet MS" w:cs="Arial"/>
          <w:sz w:val="20"/>
          <w:szCs w:val="20"/>
          <w:lang w:val="fr-FR"/>
        </w:rPr>
        <w:t>Celles où le fournisseur de services ou de biens s’autorise à modifier unilatéralement le délai de livraison ;</w:t>
      </w:r>
    </w:p>
    <w:p w14:paraId="0693B67C" w14:textId="77777777" w:rsidR="00266865" w:rsidRPr="009C7412" w:rsidRDefault="00266865" w:rsidP="009C7412">
      <w:pPr>
        <w:jc w:val="both"/>
        <w:rPr>
          <w:rFonts w:cs="Arial"/>
          <w:szCs w:val="20"/>
        </w:rPr>
      </w:pPr>
    </w:p>
    <w:p w14:paraId="0693B67D" w14:textId="77777777" w:rsidR="00266865" w:rsidRPr="009C7412" w:rsidRDefault="00266865" w:rsidP="0086187F">
      <w:pPr>
        <w:pStyle w:val="Paragraphedeliste1"/>
        <w:numPr>
          <w:ilvl w:val="0"/>
          <w:numId w:val="64"/>
        </w:numPr>
        <w:spacing w:after="0" w:line="240" w:lineRule="auto"/>
        <w:jc w:val="both"/>
        <w:rPr>
          <w:rFonts w:ascii="Trebuchet MS" w:hAnsi="Trebuchet MS" w:cs="Arial"/>
          <w:sz w:val="20"/>
          <w:szCs w:val="20"/>
          <w:lang w:val="fr-FR"/>
        </w:rPr>
      </w:pPr>
      <w:r w:rsidRPr="009C7412">
        <w:rPr>
          <w:rFonts w:ascii="Trebuchet MS" w:hAnsi="Trebuchet MS" w:cs="Arial"/>
          <w:sz w:val="20"/>
          <w:szCs w:val="20"/>
          <w:lang w:val="fr-FR"/>
        </w:rPr>
        <w:t xml:space="preserve"> Les clauses pénales qui déterminent un montant exagérément élevé dans le cas où un consommateur paierait en retard compte tenu du préjudice réellement subi par le vendeur ou les clauses pénales non réciproques. </w:t>
      </w:r>
      <w:r w:rsidRPr="009C7412">
        <w:rPr>
          <w:rStyle w:val="Appelnotedebasdep"/>
          <w:rFonts w:ascii="Trebuchet MS" w:eastAsia="Calibri" w:hAnsi="Trebuchet MS" w:cs="Arial"/>
          <w:sz w:val="20"/>
          <w:szCs w:val="20"/>
        </w:rPr>
        <w:footnoteReference w:id="37"/>
      </w:r>
      <w:r w:rsidRPr="009C7412">
        <w:rPr>
          <w:rFonts w:ascii="Trebuchet MS" w:hAnsi="Trebuchet MS" w:cs="Arial"/>
          <w:sz w:val="20"/>
          <w:szCs w:val="20"/>
          <w:lang w:val="fr-FR"/>
        </w:rPr>
        <w:t> ;</w:t>
      </w:r>
    </w:p>
    <w:p w14:paraId="0693B67E" w14:textId="77777777" w:rsidR="00266865" w:rsidRPr="009C7412" w:rsidRDefault="00266865" w:rsidP="009C7412">
      <w:pPr>
        <w:jc w:val="both"/>
        <w:rPr>
          <w:rFonts w:cs="Arial"/>
          <w:szCs w:val="20"/>
        </w:rPr>
      </w:pPr>
    </w:p>
    <w:p w14:paraId="0693B67F" w14:textId="77777777" w:rsidR="00266865" w:rsidRPr="009C7412" w:rsidRDefault="00266865" w:rsidP="0086187F">
      <w:pPr>
        <w:pStyle w:val="Paragraphedeliste1"/>
        <w:numPr>
          <w:ilvl w:val="0"/>
          <w:numId w:val="64"/>
        </w:numPr>
        <w:rPr>
          <w:rFonts w:ascii="Trebuchet MS" w:hAnsi="Trebuchet MS" w:cs="Arial"/>
          <w:sz w:val="20"/>
          <w:szCs w:val="20"/>
        </w:rPr>
      </w:pPr>
      <w:r w:rsidRPr="009C7412">
        <w:rPr>
          <w:rFonts w:ascii="Trebuchet MS" w:hAnsi="Trebuchet MS" w:cs="Arial"/>
          <w:sz w:val="20"/>
          <w:szCs w:val="20"/>
        </w:rPr>
        <w:t xml:space="preserve">Les clauses prévoyant un changement de prix en fonction du mode de paiement (interdiction d’imposer le paiement par domiciliation) </w:t>
      </w:r>
    </w:p>
    <w:p w14:paraId="0693B680" w14:textId="77777777" w:rsidR="00266865" w:rsidRPr="009C7412" w:rsidRDefault="00266865" w:rsidP="009C7412">
      <w:pPr>
        <w:jc w:val="both"/>
        <w:rPr>
          <w:rFonts w:cs="Arial"/>
          <w:bCs/>
          <w:szCs w:val="20"/>
          <w:lang w:eastAsia="fr-BE"/>
        </w:rPr>
      </w:pPr>
      <w:r w:rsidRPr="009C7412">
        <w:rPr>
          <w:rFonts w:cs="Arial"/>
          <w:bCs/>
          <w:szCs w:val="20"/>
          <w:lang w:eastAsia="fr-BE"/>
        </w:rPr>
        <w:t xml:space="preserve">En ce qui concerne les clauses abusives qui ne sont pas énumérées dans la loi, c’est le juge qui est compétent pour déterminer s’il s’agit d’une clause abusive ou non. La Commission des Clauses Abusives reconnaît que le juge a un pouvoir d’appréciation assez étendu pour vérifier la légitimité des clauses conclues avec les consommateurs, </w:t>
      </w:r>
      <w:r w:rsidRPr="009C7412">
        <w:rPr>
          <w:rFonts w:cs="Arial"/>
          <w:bCs/>
          <w:i/>
          <w:szCs w:val="20"/>
          <w:lang w:eastAsia="fr-BE"/>
        </w:rPr>
        <w:t xml:space="preserve">même si ces clauses ne sont pas interdites sur la base d’une des clauses de la liste </w:t>
      </w:r>
      <w:r w:rsidRPr="009C7412">
        <w:rPr>
          <w:rFonts w:cs="Arial"/>
          <w:bCs/>
          <w:szCs w:val="20"/>
          <w:lang w:eastAsia="fr-BE"/>
        </w:rPr>
        <w:t xml:space="preserve">établie par le législateur belge et européen. </w:t>
      </w:r>
      <w:r w:rsidRPr="009C7412">
        <w:rPr>
          <w:rStyle w:val="Appelnotedebasdep"/>
          <w:rFonts w:eastAsia="Calibri" w:cs="Arial"/>
          <w:bCs/>
          <w:szCs w:val="20"/>
          <w:lang w:eastAsia="fr-BE"/>
        </w:rPr>
        <w:footnoteReference w:id="38"/>
      </w:r>
    </w:p>
    <w:p w14:paraId="0693B681" w14:textId="77777777" w:rsidR="00266865" w:rsidRPr="009C7412" w:rsidRDefault="00266865" w:rsidP="009C7412">
      <w:pPr>
        <w:jc w:val="both"/>
        <w:rPr>
          <w:rFonts w:cs="Arial"/>
          <w:bCs/>
          <w:color w:val="444444"/>
          <w:szCs w:val="20"/>
          <w:lang w:eastAsia="fr-BE"/>
        </w:rPr>
      </w:pPr>
    </w:p>
    <w:p w14:paraId="0693B682" w14:textId="77777777" w:rsidR="00266865" w:rsidRPr="009C7412" w:rsidRDefault="00266865" w:rsidP="009C7412">
      <w:pPr>
        <w:jc w:val="both"/>
        <w:rPr>
          <w:rFonts w:cs="Arial"/>
          <w:szCs w:val="20"/>
          <w:lang w:eastAsia="en-US"/>
        </w:rPr>
      </w:pPr>
      <w:r w:rsidRPr="009C7412">
        <w:rPr>
          <w:rFonts w:cs="Arial"/>
          <w:bCs/>
          <w:szCs w:val="20"/>
          <w:lang w:eastAsia="fr-BE"/>
        </w:rPr>
        <w:t xml:space="preserve">La loi du 6 avril 2010 relative aux pratiques du marché et à la protection du consommateur prévoit en son article 75 </w:t>
      </w:r>
      <w:r w:rsidRPr="009C7412">
        <w:rPr>
          <w:rFonts w:cs="Arial"/>
          <w:szCs w:val="20"/>
        </w:rPr>
        <w:t>§ 1</w:t>
      </w:r>
      <w:r w:rsidRPr="009C7412">
        <w:rPr>
          <w:rFonts w:cs="Arial"/>
          <w:szCs w:val="20"/>
          <w:vertAlign w:val="superscript"/>
        </w:rPr>
        <w:t>er</w:t>
      </w:r>
      <w:r w:rsidRPr="009C7412">
        <w:rPr>
          <w:rFonts w:cs="Arial"/>
          <w:szCs w:val="20"/>
        </w:rPr>
        <w:t xml:space="preserve"> que « toute clause abusive est interdite et nulle »</w:t>
      </w:r>
      <w:r w:rsidRPr="009C7412">
        <w:rPr>
          <w:rStyle w:val="Appelnotedebasdep"/>
          <w:rFonts w:eastAsia="Calibri" w:cs="Arial"/>
          <w:szCs w:val="20"/>
        </w:rPr>
        <w:footnoteReference w:id="39"/>
      </w:r>
      <w:r w:rsidRPr="009C7412">
        <w:rPr>
          <w:rFonts w:cs="Arial"/>
          <w:szCs w:val="20"/>
        </w:rPr>
        <w:t>. Cependant, le contrat conservera son caractère contraignant à l’égard des parties contractantes dans les cas où il peut exister après l’annulation des clauses abusives</w:t>
      </w:r>
      <w:r w:rsidRPr="009C7412">
        <w:rPr>
          <w:rStyle w:val="Appelnotedebasdep"/>
          <w:rFonts w:eastAsia="Calibri" w:cs="Arial"/>
          <w:szCs w:val="20"/>
        </w:rPr>
        <w:footnoteReference w:id="40"/>
      </w:r>
      <w:r w:rsidRPr="009C7412">
        <w:rPr>
          <w:rFonts w:cs="Arial"/>
          <w:szCs w:val="20"/>
        </w:rPr>
        <w:t xml:space="preserve">. En effet, rappelons que les clauses abusives ne portent ni sur la définition de l’objet du contrat ni sur les prix demandés. Si le consommateur veut se défaire de son obligation, il doit démontrer que dans les conditions subsistantes, il n’aurait pas conclu de contrat. </w:t>
      </w:r>
    </w:p>
    <w:p w14:paraId="0693B683" w14:textId="77777777" w:rsidR="00266865" w:rsidRPr="009C7412" w:rsidRDefault="00266865" w:rsidP="009C7412">
      <w:pPr>
        <w:jc w:val="both"/>
        <w:rPr>
          <w:rFonts w:cs="Arial"/>
          <w:szCs w:val="20"/>
        </w:rPr>
      </w:pPr>
    </w:p>
    <w:p w14:paraId="0693B684" w14:textId="77777777" w:rsidR="00266865" w:rsidRPr="009C7412" w:rsidRDefault="00266865" w:rsidP="009C7412">
      <w:pPr>
        <w:jc w:val="both"/>
        <w:rPr>
          <w:rFonts w:cs="Arial"/>
          <w:bCs/>
          <w:szCs w:val="20"/>
          <w:lang w:eastAsia="fr-BE"/>
        </w:rPr>
      </w:pPr>
      <w:r w:rsidRPr="009C7412">
        <w:rPr>
          <w:rFonts w:cs="Arial"/>
          <w:bCs/>
          <w:szCs w:val="20"/>
          <w:lang w:eastAsia="fr-BE"/>
        </w:rPr>
        <w:lastRenderedPageBreak/>
        <w:t>Une jurisprudence européenne</w:t>
      </w:r>
      <w:r w:rsidRPr="009C7412">
        <w:rPr>
          <w:rStyle w:val="Appelnotedebasdep"/>
          <w:rFonts w:eastAsia="Calibri" w:cs="Arial"/>
          <w:bCs/>
          <w:szCs w:val="20"/>
          <w:lang w:eastAsia="fr-BE"/>
        </w:rPr>
        <w:footnoteReference w:id="41"/>
      </w:r>
      <w:r w:rsidRPr="009C7412">
        <w:rPr>
          <w:rFonts w:cs="Arial"/>
          <w:bCs/>
          <w:szCs w:val="20"/>
          <w:lang w:eastAsia="fr-BE"/>
        </w:rPr>
        <w:t xml:space="preserve"> sur les clauses abusives impose (et confirme ce qui avait déjà été stipulé dans un arrêt de la Cour Européenne de Justice du 27 juin 2000)  que le juge national doit examiner le caractère abusif ou non des clauses des contrats qui sont portés à sa connaissance. En effet, point besoin pour le consommateur d’invoquer le caractère abusif d’une clause contractuelle. </w:t>
      </w:r>
    </w:p>
    <w:p w14:paraId="0693B685" w14:textId="77777777" w:rsidR="00266865" w:rsidRPr="009C7412" w:rsidRDefault="00266865" w:rsidP="009C7412">
      <w:pPr>
        <w:jc w:val="both"/>
        <w:rPr>
          <w:rFonts w:cs="Arial"/>
          <w:bCs/>
          <w:color w:val="444444"/>
          <w:szCs w:val="20"/>
          <w:lang w:eastAsia="fr-BE"/>
        </w:rPr>
      </w:pPr>
    </w:p>
    <w:p w14:paraId="0693B686" w14:textId="77777777" w:rsidR="00266865" w:rsidRDefault="00266865" w:rsidP="005236E5">
      <w:pPr>
        <w:jc w:val="both"/>
        <w:rPr>
          <w:rFonts w:cs="Arial"/>
          <w:bCs/>
          <w:szCs w:val="20"/>
          <w:lang w:eastAsia="fr-BE"/>
        </w:rPr>
      </w:pPr>
      <w:r w:rsidRPr="009C7412">
        <w:rPr>
          <w:rFonts w:cs="Arial"/>
          <w:bCs/>
          <w:szCs w:val="20"/>
          <w:lang w:eastAsia="fr-BE"/>
        </w:rPr>
        <w:t>Cet arrêt précise également qu’il appartient au juge national de déterminer si une clause contractuelle réunit les critères requis pour être qualifiée d’abusive au sens de l’article 3 §1 de la directive 93/13</w:t>
      </w:r>
      <w:r w:rsidRPr="009C7412">
        <w:rPr>
          <w:rStyle w:val="Appelnotedebasdep"/>
          <w:rFonts w:eastAsia="Calibri" w:cs="Arial"/>
          <w:bCs/>
          <w:szCs w:val="20"/>
          <w:lang w:eastAsia="fr-BE"/>
        </w:rPr>
        <w:footnoteReference w:id="42"/>
      </w:r>
      <w:r>
        <w:rPr>
          <w:rFonts w:cs="Arial"/>
          <w:bCs/>
          <w:szCs w:val="20"/>
          <w:lang w:eastAsia="fr-BE"/>
        </w:rPr>
        <w:t>.</w:t>
      </w:r>
    </w:p>
    <w:p w14:paraId="0693B687" w14:textId="77777777" w:rsidR="00266865" w:rsidRPr="00F44075" w:rsidRDefault="00266865" w:rsidP="00F44075">
      <w:pPr>
        <w:pStyle w:val="Titre3"/>
      </w:pPr>
      <w:bookmarkStart w:id="279" w:name="_Toc322455066"/>
      <w:bookmarkStart w:id="280" w:name="_Toc482815627"/>
      <w:r w:rsidRPr="00F44075">
        <w:t>Exemples</w:t>
      </w:r>
      <w:bookmarkEnd w:id="279"/>
      <w:bookmarkEnd w:id="280"/>
    </w:p>
    <w:p w14:paraId="0693B688" w14:textId="77777777" w:rsidR="00266865" w:rsidRPr="00B66588" w:rsidRDefault="00266865" w:rsidP="00B66588">
      <w:pPr>
        <w:pStyle w:val="Paragraphedeliste1"/>
        <w:numPr>
          <w:ilvl w:val="0"/>
          <w:numId w:val="66"/>
        </w:numPr>
        <w:spacing w:before="120"/>
        <w:ind w:left="360"/>
        <w:contextualSpacing w:val="0"/>
        <w:jc w:val="both"/>
        <w:rPr>
          <w:rFonts w:ascii="Trebuchet MS" w:hAnsi="Trebuchet MS" w:cs="Arial"/>
          <w:sz w:val="20"/>
          <w:szCs w:val="20"/>
        </w:rPr>
      </w:pPr>
      <w:r w:rsidRPr="00B66588">
        <w:rPr>
          <w:rFonts w:ascii="Trebuchet MS" w:hAnsi="Trebuchet MS" w:cs="Arial"/>
          <w:sz w:val="20"/>
          <w:szCs w:val="20"/>
        </w:rPr>
        <w:t xml:space="preserve">Suite  à des travaux réalisés dans votre quartier, votre ligne internet ne fonctionne plus, la connexion n’est rétablie qu’au bout d’une semaine. Vous réclamez alors une indemnisation suite au préjudice subis pendant la semaine. Votre fournisseur réseau refuse et invoque le fait que le contrat qui vous lie stipule une exonération de responsabilité dans le chef du fournisseur dans ce type de cas. Cependant les clauses supprimant ou réduisant le droit à réparation du préjudice subis par le consommateur  par un professionnel est abusive et interdite. Le consommateur devrait donc obtenir gain de cause quant à la suppression d’une telle clause dans le contrat. Il restera cependant au consommateur de prouver qu’il a effectivement subi un dommage résultant du fait du fournisseur ainsi que le lien de causalité entre les deux (Pour rappel : cours de « Droit des contrats, M. P. Jeanray »)  </w:t>
      </w:r>
    </w:p>
    <w:p w14:paraId="0693B689" w14:textId="77777777" w:rsidR="00266865" w:rsidRPr="00B66588" w:rsidRDefault="00266865" w:rsidP="00B66588">
      <w:pPr>
        <w:pStyle w:val="Paragraphedeliste1"/>
        <w:numPr>
          <w:ilvl w:val="0"/>
          <w:numId w:val="66"/>
        </w:numPr>
        <w:spacing w:before="120"/>
        <w:ind w:left="348"/>
        <w:contextualSpacing w:val="0"/>
        <w:jc w:val="both"/>
        <w:rPr>
          <w:rFonts w:ascii="Trebuchet MS" w:hAnsi="Trebuchet MS" w:cs="Arial"/>
          <w:sz w:val="20"/>
          <w:szCs w:val="20"/>
        </w:rPr>
      </w:pPr>
      <w:r w:rsidRPr="00B66588">
        <w:rPr>
          <w:rFonts w:ascii="Trebuchet MS" w:hAnsi="Trebuchet MS" w:cs="Arial"/>
          <w:sz w:val="20"/>
          <w:szCs w:val="20"/>
        </w:rPr>
        <w:t xml:space="preserve">Vous avez pris rendez-vous dans une auto-école afin de pouvoir passer votre examen pratique. Cependant, pour cause de maladie vous n’avez pu vous rendre à l’une de vos leçons. Votre auto-école ne veut pas reporter votre leçon ou effectuer un remboursement car vous n’avez pu prévenir dans le délai stipulé dans le contrat. Le contrat ne prévoit cependant </w:t>
      </w:r>
      <w:r w:rsidRPr="00B66588">
        <w:rPr>
          <w:rFonts w:ascii="Trebuchet MS" w:hAnsi="Trebuchet MS" w:cs="Arial"/>
          <w:color w:val="000000"/>
          <w:sz w:val="20"/>
          <w:szCs w:val="20"/>
        </w:rPr>
        <w:t>pas la possibilité pour le jeune conducteur  d’un report ou d’un remboursement de sa leçon. C’est la raison pour laquelle la commission des clauses abusives a estimé celle-ci abusive.</w:t>
      </w:r>
    </w:p>
    <w:p w14:paraId="0693B68A" w14:textId="77777777" w:rsidR="00266865" w:rsidRPr="00B66588" w:rsidRDefault="00266865" w:rsidP="00B66588">
      <w:pPr>
        <w:pStyle w:val="Paragraphedeliste1"/>
        <w:numPr>
          <w:ilvl w:val="0"/>
          <w:numId w:val="66"/>
        </w:numPr>
        <w:spacing w:before="120"/>
        <w:ind w:left="348"/>
        <w:contextualSpacing w:val="0"/>
        <w:jc w:val="both"/>
        <w:rPr>
          <w:rFonts w:ascii="Trebuchet MS" w:hAnsi="Trebuchet MS" w:cs="Arial"/>
          <w:bCs/>
          <w:sz w:val="20"/>
          <w:szCs w:val="20"/>
          <w:lang w:eastAsia="fr-BE"/>
        </w:rPr>
      </w:pPr>
      <w:r w:rsidRPr="00B66588">
        <w:rPr>
          <w:rFonts w:ascii="Trebuchet MS" w:hAnsi="Trebuchet MS" w:cs="Arial"/>
          <w:color w:val="000000"/>
          <w:sz w:val="20"/>
          <w:szCs w:val="20"/>
        </w:rPr>
        <w:t xml:space="preserve">Un professionnel  effectue un contrat de location d’une durée de cinq ans à un prix déterminé, portant sur des voitures de luxe avec une autre société. Cependant la société stipule dans le contrat en son article 19 la possibilité d’effectuer des modifications unilatérales concernant le choix de la gamme de voiture durant la durée du contrat. Le contrat valablement formé oblige le consommateur et le commerçant  à respecter les obligations exprimées dans le contrat. Cependant, le contrat ne peut valablement être modifié qu’avec l’accord des deux parties. </w:t>
      </w:r>
      <w:r w:rsidRPr="00B66588">
        <w:rPr>
          <w:rFonts w:ascii="Trebuchet MS" w:hAnsi="Trebuchet MS" w:cs="Arial"/>
          <w:sz w:val="20"/>
          <w:szCs w:val="20"/>
        </w:rPr>
        <w:t xml:space="preserve">La clause de l’article 19 du contrat, entre la société et le professionnel, est abusive au regard de la loi du 6 avril 2010 </w:t>
      </w:r>
      <w:r w:rsidRPr="00B66588">
        <w:rPr>
          <w:rFonts w:ascii="Trebuchet MS" w:hAnsi="Trebuchet MS" w:cs="Arial"/>
          <w:bCs/>
          <w:sz w:val="20"/>
          <w:szCs w:val="20"/>
          <w:lang w:eastAsia="fr-BE"/>
        </w:rPr>
        <w:t>relative aux pratiques du marché et à la protection du consommateur.</w:t>
      </w:r>
    </w:p>
    <w:p w14:paraId="0693B68B" w14:textId="77777777" w:rsidR="00266865" w:rsidRPr="00B66588" w:rsidRDefault="00266865" w:rsidP="00B66588">
      <w:pPr>
        <w:numPr>
          <w:ilvl w:val="0"/>
          <w:numId w:val="66"/>
        </w:numPr>
        <w:spacing w:before="120" w:after="200" w:line="276" w:lineRule="auto"/>
        <w:ind w:left="348"/>
        <w:jc w:val="both"/>
        <w:rPr>
          <w:rFonts w:cs="Arial"/>
          <w:szCs w:val="20"/>
        </w:rPr>
      </w:pPr>
      <w:r w:rsidRPr="00B66588">
        <w:rPr>
          <w:rFonts w:cs="Arial"/>
          <w:bCs/>
          <w:szCs w:val="20"/>
          <w:lang w:eastAsia="fr-BE"/>
        </w:rPr>
        <w:t xml:space="preserve">Un homme, après avoir acheté une « maison sans travaux » en France, s’est aperçu en occupant les lieux que les murs mitoyens avec la maison abandonnée de droite étaient rongés d’humidité. Mais, ce n’était pas tout. La maison était remplie de malfaçons : </w:t>
      </w:r>
      <w:r w:rsidRPr="00B66588">
        <w:rPr>
          <w:rFonts w:cs="Arial"/>
          <w:szCs w:val="20"/>
        </w:rPr>
        <w:t xml:space="preserve">panneaux muraux sans isolation, du contreplaqué, l'électricité n'était pas conforme, les évacuations avaient été faites avec des bouteilles d'eau en plastique, la toiture était endommagée, tous les murs étaient plein de moisissures. Peu de chance pour cet homme de se voir indemniser. Il conserve sa maison pour laquelle il a signé un contrat stipulant qu’il rachetait la maison en l’état. Heureusement </w:t>
      </w:r>
      <w:r w:rsidRPr="00B66588">
        <w:rPr>
          <w:rFonts w:cs="Arial"/>
          <w:szCs w:val="20"/>
        </w:rPr>
        <w:lastRenderedPageBreak/>
        <w:t>que la commission des clauses abusives peut intervenir. Une longue procédure reste encore à faire pour récupérer ses droits.</w:t>
      </w:r>
    </w:p>
    <w:p w14:paraId="0693B68C" w14:textId="77777777" w:rsidR="004C64BF" w:rsidRDefault="009B00BB" w:rsidP="00105A84">
      <w:pPr>
        <w:pStyle w:val="Titre2"/>
      </w:pPr>
      <w:bookmarkStart w:id="281" w:name="_Toc482815628"/>
      <w:bookmarkEnd w:id="256"/>
      <w:r>
        <w:t>Pratiques interdites</w:t>
      </w:r>
      <w:bookmarkEnd w:id="281"/>
    </w:p>
    <w:p w14:paraId="0693B68D" w14:textId="5CD4F553" w:rsidR="00D90FE1" w:rsidRDefault="00D90FE1" w:rsidP="00D90FE1">
      <w:pPr>
        <w:pStyle w:val="StyleAprs14pt"/>
      </w:pPr>
      <w:r>
        <w:t xml:space="preserve">Voir également les travaux de groupe sur </w:t>
      </w:r>
      <w:r w:rsidR="00B93235">
        <w:t>Chamilo</w:t>
      </w:r>
      <w:r>
        <w:t xml:space="preserve"> / législation et droit commercial / Travaux.</w:t>
      </w:r>
    </w:p>
    <w:p w14:paraId="0693B68E" w14:textId="77777777" w:rsidR="00304BB1" w:rsidRDefault="00304BB1" w:rsidP="00304BB1">
      <w:pPr>
        <w:pStyle w:val="Titre3"/>
        <w:numPr>
          <w:ilvl w:val="2"/>
          <w:numId w:val="1"/>
        </w:numPr>
      </w:pPr>
      <w:bookmarkStart w:id="282" w:name="_Toc482815629"/>
      <w:r>
        <w:t>Sources de loi</w:t>
      </w:r>
      <w:bookmarkEnd w:id="282"/>
    </w:p>
    <w:p w14:paraId="0693B68F" w14:textId="77777777" w:rsidR="00A846FC" w:rsidRDefault="00A846FC" w:rsidP="00A846FC">
      <w:r>
        <w:t>31/05/2014</w:t>
      </w:r>
      <w:r w:rsidRPr="002E3438">
        <w:t xml:space="preserve"> </w:t>
      </w:r>
      <w:r>
        <w:t>–</w:t>
      </w:r>
      <w:r w:rsidRPr="002E3438">
        <w:t xml:space="preserve"> </w:t>
      </w:r>
      <w:r>
        <w:t>Code de Droit économique – Livre VI sur les</w:t>
      </w:r>
      <w:r w:rsidRPr="002E3438">
        <w:t xml:space="preserve"> pratiques du marché et </w:t>
      </w:r>
      <w:r>
        <w:t>la protection du consommateur (Titre IV)</w:t>
      </w:r>
    </w:p>
    <w:p w14:paraId="0693B690" w14:textId="29E701D6" w:rsidR="004C64BF" w:rsidRDefault="006E4E78" w:rsidP="00A846FC">
      <w:pPr>
        <w:pStyle w:val="Titre3"/>
        <w:numPr>
          <w:ilvl w:val="2"/>
          <w:numId w:val="1"/>
        </w:numPr>
      </w:pPr>
      <w:bookmarkStart w:id="283" w:name="_Toc482815630"/>
      <w:r>
        <w:t>Résumé du sujet</w:t>
      </w:r>
      <w:bookmarkEnd w:id="283"/>
    </w:p>
    <w:p w14:paraId="1E3E413E" w14:textId="63F479E6" w:rsidR="00AE7ABA" w:rsidRPr="00AE7ABA" w:rsidRDefault="00AE7ABA" w:rsidP="00AE7ABA">
      <w:r>
        <w:t xml:space="preserve">À partie des sous-titres </w:t>
      </w:r>
      <w:r>
        <w:fldChar w:fldCharType="begin"/>
      </w:r>
      <w:r>
        <w:instrText xml:space="preserve"> REF _Ref477419276 \r \h </w:instrText>
      </w:r>
      <w:r>
        <w:fldChar w:fldCharType="separate"/>
      </w:r>
      <w:r>
        <w:t>4.6.2.3</w:t>
      </w:r>
      <w:r>
        <w:fldChar w:fldCharType="end"/>
      </w:r>
      <w:r>
        <w:t xml:space="preserve">, la source provient de la </w:t>
      </w:r>
      <w:hyperlink r:id="rId105" w:history="1">
        <w:r w:rsidRPr="00AE7ABA">
          <w:rPr>
            <w:rStyle w:val="Lienhypertexte"/>
          </w:rPr>
          <w:t>présentation du groupe AZREG</w:t>
        </w:r>
      </w:hyperlink>
      <w:r w:rsidRPr="00AE7ABA">
        <w:t xml:space="preserve"> </w:t>
      </w:r>
      <w:r>
        <w:t>(</w:t>
      </w:r>
      <w:r w:rsidRPr="00AE7ABA">
        <w:t>Assma &amp; Khadija</w:t>
      </w:r>
      <w:r>
        <w:t>)</w:t>
      </w:r>
    </w:p>
    <w:p w14:paraId="0693B691" w14:textId="77777777" w:rsidR="00616E7A" w:rsidRDefault="00616E7A" w:rsidP="001F7D23">
      <w:pPr>
        <w:pStyle w:val="Titre4"/>
      </w:pPr>
      <w:r>
        <w:t>La concurrence déloyale issue au secret professionnel ou aux clauses de non-concurrence</w:t>
      </w:r>
    </w:p>
    <w:p w14:paraId="0693B692" w14:textId="77777777" w:rsidR="00304BB1" w:rsidRDefault="006E4E78" w:rsidP="00304BB1">
      <w:pPr>
        <w:jc w:val="both"/>
        <w:rPr>
          <w:shd w:val="clear" w:color="auto" w:fill="FFFFFF"/>
        </w:rPr>
      </w:pPr>
      <w:r>
        <w:t>« </w:t>
      </w:r>
      <w:r>
        <w:rPr>
          <w:shd w:val="clear" w:color="auto" w:fill="FFFFFF"/>
        </w:rPr>
        <w:t>«</w:t>
      </w:r>
      <w:r>
        <w:rPr>
          <w:rStyle w:val="apple-converted-space"/>
          <w:color w:val="000000"/>
          <w:shd w:val="clear" w:color="auto" w:fill="FFFFFF"/>
        </w:rPr>
        <w:t> </w:t>
      </w:r>
      <w:r>
        <w:rPr>
          <w:shd w:val="clear" w:color="auto" w:fill="FFFFFF"/>
        </w:rPr>
        <w:t>Le travailleur a l'obligation : (…) 3° de s'abstenir, tant au cours du contrat qu'après la cessation de celui-ci :(…)</w:t>
      </w:r>
      <w:r w:rsidR="00304BB1">
        <w:rPr>
          <w:shd w:val="clear" w:color="auto" w:fill="FFFFFF"/>
        </w:rPr>
        <w:t xml:space="preserve"> </w:t>
      </w:r>
      <w:r>
        <w:rPr>
          <w:shd w:val="clear" w:color="auto" w:fill="FFFFFF"/>
        </w:rPr>
        <w:t>b) de se livrer ou de coopérer à tout acte de concurrence déloyale (…)</w:t>
      </w:r>
      <w:r>
        <w:rPr>
          <w:rStyle w:val="apple-converted-space"/>
          <w:color w:val="000000"/>
          <w:shd w:val="clear" w:color="auto" w:fill="FFFFFF"/>
        </w:rPr>
        <w:t> </w:t>
      </w:r>
      <w:r>
        <w:rPr>
          <w:shd w:val="clear" w:color="auto" w:fill="FFFFFF"/>
        </w:rPr>
        <w:t>» ;</w:t>
      </w:r>
      <w:r>
        <w:br/>
      </w:r>
      <w:r>
        <w:br/>
      </w:r>
      <w:r>
        <w:rPr>
          <w:shd w:val="clear" w:color="auto" w:fill="FFFFFF"/>
        </w:rPr>
        <w:t>Cette disposition peut trouver à s’appliquer,</w:t>
      </w:r>
      <w:r>
        <w:rPr>
          <w:rStyle w:val="apple-converted-space"/>
          <w:color w:val="000000"/>
          <w:shd w:val="clear" w:color="auto" w:fill="FFFFFF"/>
        </w:rPr>
        <w:t> </w:t>
      </w:r>
      <w:r>
        <w:rPr>
          <w:u w:val="single"/>
          <w:shd w:val="clear" w:color="auto" w:fill="FFFFFF"/>
        </w:rPr>
        <w:t>nonobstant l’existence ou non d’une clause de non-concurrence</w:t>
      </w:r>
      <w:r>
        <w:rPr>
          <w:rStyle w:val="apple-converted-space"/>
          <w:color w:val="000000"/>
          <w:shd w:val="clear" w:color="auto" w:fill="FFFFFF"/>
        </w:rPr>
        <w:t> </w:t>
      </w:r>
      <w:r>
        <w:rPr>
          <w:shd w:val="clear" w:color="auto" w:fill="FFFFFF"/>
        </w:rPr>
        <w:t>signée par les parties.</w:t>
      </w:r>
    </w:p>
    <w:p w14:paraId="0693B693" w14:textId="77777777" w:rsidR="00304BB1" w:rsidRDefault="006E4E78" w:rsidP="00304BB1">
      <w:pPr>
        <w:jc w:val="both"/>
        <w:rPr>
          <w:shd w:val="clear" w:color="auto" w:fill="FFFFFF"/>
        </w:rPr>
      </w:pPr>
      <w:r>
        <w:br/>
      </w:r>
      <w:r>
        <w:rPr>
          <w:shd w:val="clear" w:color="auto" w:fill="FFFFFF"/>
        </w:rPr>
        <w:t>Ainsi, à titre exemplatif, la jurisprudence a considéré que le fait d’utiliser la base de données de son employeur pour se constituer un carnet d’adresses en vue de la prospection de clients potentiels constituait un acte de concurrence déloyale, sanctionné par la loi (C. trav. Liège, 5/9/1994,</w:t>
      </w:r>
      <w:r>
        <w:rPr>
          <w:rStyle w:val="apple-converted-space"/>
          <w:color w:val="000000"/>
          <w:shd w:val="clear" w:color="auto" w:fill="FFFFFF"/>
        </w:rPr>
        <w:t> </w:t>
      </w:r>
      <w:r>
        <w:rPr>
          <w:shd w:val="clear" w:color="auto" w:fill="FFFFFF"/>
        </w:rPr>
        <w:t>J.T.T.</w:t>
      </w:r>
      <w:r>
        <w:rPr>
          <w:rStyle w:val="apple-converted-space"/>
          <w:i/>
          <w:iCs/>
          <w:color w:val="000000"/>
          <w:shd w:val="clear" w:color="auto" w:fill="FFFFFF"/>
        </w:rPr>
        <w:t> </w:t>
      </w:r>
      <w:r>
        <w:rPr>
          <w:shd w:val="clear" w:color="auto" w:fill="FFFFFF"/>
        </w:rPr>
        <w:t>1995, page 137 : «</w:t>
      </w:r>
      <w:r>
        <w:rPr>
          <w:rStyle w:val="apple-converted-space"/>
          <w:color w:val="000000"/>
          <w:shd w:val="clear" w:color="auto" w:fill="FFFFFF"/>
        </w:rPr>
        <w:t> </w:t>
      </w:r>
      <w:r>
        <w:rPr>
          <w:shd w:val="clear" w:color="auto" w:fill="FFFFFF"/>
        </w:rPr>
        <w:t>L’employé doit se garder de faire usage des documents obtenus durant l’exécution du contrat de travail, sauf si ces documents appartiennent au domaine public</w:t>
      </w:r>
      <w:r>
        <w:rPr>
          <w:rStyle w:val="apple-converted-space"/>
          <w:color w:val="000000"/>
          <w:shd w:val="clear" w:color="auto" w:fill="FFFFFF"/>
        </w:rPr>
        <w:t> </w:t>
      </w:r>
      <w:r>
        <w:rPr>
          <w:shd w:val="clear" w:color="auto" w:fill="FFFFFF"/>
        </w:rPr>
        <w:t>»).</w:t>
      </w:r>
      <w:r>
        <w:br/>
      </w:r>
    </w:p>
    <w:p w14:paraId="0693B694" w14:textId="77777777" w:rsidR="006E4E78" w:rsidRDefault="006E4E78" w:rsidP="00304BB1">
      <w:pPr>
        <w:jc w:val="both"/>
        <w:rPr>
          <w:shd w:val="clear" w:color="auto" w:fill="FFFFFF"/>
        </w:rPr>
      </w:pPr>
      <w:r>
        <w:rPr>
          <w:shd w:val="clear" w:color="auto" w:fill="FFFFFF"/>
        </w:rPr>
        <w:t>En outre, la Cour du Travail de Liège (15/2/1996,</w:t>
      </w:r>
      <w:r>
        <w:rPr>
          <w:rStyle w:val="apple-converted-space"/>
          <w:i/>
          <w:iCs/>
          <w:color w:val="000000"/>
          <w:shd w:val="clear" w:color="auto" w:fill="FFFFFF"/>
        </w:rPr>
        <w:t> </w:t>
      </w:r>
      <w:r>
        <w:rPr>
          <w:shd w:val="clear" w:color="auto" w:fill="FFFFFF"/>
        </w:rPr>
        <w:t>J.T.T.</w:t>
      </w:r>
      <w:r>
        <w:rPr>
          <w:rStyle w:val="apple-converted-space"/>
          <w:color w:val="000000"/>
          <w:shd w:val="clear" w:color="auto" w:fill="FFFFFF"/>
        </w:rPr>
        <w:t> </w:t>
      </w:r>
      <w:r>
        <w:rPr>
          <w:shd w:val="clear" w:color="auto" w:fill="FFFFFF"/>
        </w:rPr>
        <w:t>1997, page 109) a décidé que se rendait coupable de concurrence déloyale, l’employé qui, directement après son licenciement, écrivait une lettre à la clientèle de son précédent employeur dans laquelle il les informait de son départ et de son nouvel emploi.</w:t>
      </w:r>
      <w:r w:rsidR="00DB4401">
        <w:rPr>
          <w:shd w:val="clear" w:color="auto" w:fill="FFFFFF"/>
        </w:rPr>
        <w:t> »</w:t>
      </w:r>
      <w:r w:rsidR="00DB4401">
        <w:rPr>
          <w:rStyle w:val="Appelnotedebasdep"/>
          <w:color w:val="000000"/>
          <w:shd w:val="clear" w:color="auto" w:fill="FFFFFF"/>
        </w:rPr>
        <w:footnoteReference w:id="43"/>
      </w:r>
    </w:p>
    <w:p w14:paraId="0693B695" w14:textId="77777777" w:rsidR="00304BB1" w:rsidRDefault="00616E7A" w:rsidP="001F7D23">
      <w:pPr>
        <w:pStyle w:val="Titre4"/>
        <w:rPr>
          <w:shd w:val="clear" w:color="auto" w:fill="FFFFFF"/>
        </w:rPr>
      </w:pPr>
      <w:r>
        <w:rPr>
          <w:shd w:val="clear" w:color="auto" w:fill="FFFFFF"/>
        </w:rPr>
        <w:t>La concurrence déloyale provenant d’abus de pratiques commerciales</w:t>
      </w:r>
    </w:p>
    <w:p w14:paraId="0693B696" w14:textId="77777777" w:rsidR="00613F73" w:rsidRPr="00613F73" w:rsidRDefault="00613F73" w:rsidP="00304BB1">
      <w:pPr>
        <w:jc w:val="both"/>
      </w:pPr>
      <w:r>
        <w:rPr>
          <w:shd w:val="clear" w:color="auto" w:fill="FFFFFF"/>
        </w:rPr>
        <w:t>« </w:t>
      </w:r>
      <w:r w:rsidRPr="00613F73">
        <w:t>La liberté d’entreprendre et d’exercer des activités commerciales implique … de vendre, de se faire des clients, voire d’attirer la clientèle de ses « confrères » ou concurrents.</w:t>
      </w:r>
    </w:p>
    <w:p w14:paraId="0693B697" w14:textId="77777777" w:rsidR="00613F73" w:rsidRPr="00613F73" w:rsidRDefault="00613F73" w:rsidP="00304BB1">
      <w:pPr>
        <w:jc w:val="both"/>
      </w:pPr>
      <w:r w:rsidRPr="00613F73">
        <w:t>Mais quelles sont les limites à la concurrence « normale ». A partir de quand celle-ci devient-elle déloyale et est-elle susceptible d’engager la responsabilité et déboucher sur une condamnation à des dommages-intérêts ?</w:t>
      </w:r>
    </w:p>
    <w:p w14:paraId="0693B698" w14:textId="77777777" w:rsidR="00304BB1" w:rsidRDefault="00304BB1" w:rsidP="00304BB1">
      <w:pPr>
        <w:jc w:val="both"/>
      </w:pPr>
    </w:p>
    <w:p w14:paraId="0693B699" w14:textId="77777777" w:rsidR="00613F73" w:rsidRPr="00613F73" w:rsidRDefault="00613F73" w:rsidP="00304BB1">
      <w:pPr>
        <w:jc w:val="both"/>
      </w:pPr>
      <w:r w:rsidRPr="00613F73">
        <w:lastRenderedPageBreak/>
        <w:t>La </w:t>
      </w:r>
      <w:r w:rsidRPr="00613F73">
        <w:rPr>
          <w:b/>
          <w:bCs/>
        </w:rPr>
        <w:t>concurrence déloyale</w:t>
      </w:r>
      <w:r w:rsidRPr="00613F73">
        <w:t> désigne un abus de pratique commerciale d’une entreprise par rapport à une autre. C’est l’ensemble des pratiques contraires à la loi (notamment certaines dispositions de la loi de 2010 sur les pratiques de Marché) ou aux usages, qui constituent une faute susceptible de causer préjudice aux concurrents.</w:t>
      </w:r>
    </w:p>
    <w:p w14:paraId="0693B69A" w14:textId="25CC874D" w:rsidR="00613F73" w:rsidRPr="00613F73" w:rsidRDefault="00613F73" w:rsidP="00304BB1">
      <w:pPr>
        <w:jc w:val="both"/>
      </w:pPr>
      <w:r w:rsidRPr="00613F73">
        <w:t xml:space="preserve">Nous ne visons pas ici la concurrence déloyale d’un employé par rapport à </w:t>
      </w:r>
      <w:r w:rsidR="00B93235" w:rsidRPr="00613F73">
        <w:t>son (</w:t>
      </w:r>
      <w:r w:rsidRPr="00613F73">
        <w:t>ex-)employeur, mais la concurrence entre commerçants ou autres professionnels.</w:t>
      </w:r>
    </w:p>
    <w:p w14:paraId="0693B69B" w14:textId="77777777" w:rsidR="00613F73" w:rsidRPr="00613F73" w:rsidRDefault="00613F73" w:rsidP="00304BB1">
      <w:pPr>
        <w:jc w:val="both"/>
      </w:pPr>
      <w:r w:rsidRPr="00613F73">
        <w:t>Entre professionnels, elle consiste en général dans le dénigrement d’un concurrent  ou l’utilisation de moyens  déloyaux  et abusifs, pour attirer la clientèle de celui-ci.</w:t>
      </w:r>
    </w:p>
    <w:p w14:paraId="0693B69C" w14:textId="77777777" w:rsidR="00613F73" w:rsidRPr="00613F73" w:rsidRDefault="00613F73" w:rsidP="00304BB1">
      <w:pPr>
        <w:jc w:val="both"/>
      </w:pPr>
      <w:r w:rsidRPr="00613F73">
        <w:t>Quel est la limite entre ce qui peut être accepté et ce qui est inadmissible et sanctionnable ? Quand cette concurrence est-elle vraiment déloyale ?</w:t>
      </w:r>
    </w:p>
    <w:p w14:paraId="0693B69D" w14:textId="77777777" w:rsidR="00613F73" w:rsidRPr="00613F73" w:rsidRDefault="00613F73" w:rsidP="00304BB1">
      <w:pPr>
        <w:jc w:val="both"/>
        <w:rPr>
          <w:szCs w:val="18"/>
        </w:rPr>
      </w:pPr>
      <w:r w:rsidRPr="00613F73">
        <w:t>Quels cas de concurrence déloyale ?</w:t>
      </w:r>
    </w:p>
    <w:p w14:paraId="0693B69E" w14:textId="77777777" w:rsidR="00613F73" w:rsidRPr="00613F73" w:rsidRDefault="00613F73" w:rsidP="00304BB1">
      <w:pPr>
        <w:jc w:val="both"/>
        <w:rPr>
          <w:szCs w:val="18"/>
        </w:rPr>
      </w:pPr>
      <w:r w:rsidRPr="00613F73">
        <w:rPr>
          <w:szCs w:val="18"/>
        </w:rPr>
        <w:t>On distingue plusieurs types de comportements commerciaux répréhensibles :</w:t>
      </w:r>
    </w:p>
    <w:p w14:paraId="0693B69F" w14:textId="77777777" w:rsidR="00613F73" w:rsidRPr="00613F73" w:rsidRDefault="00613F73" w:rsidP="00304BB1">
      <w:pPr>
        <w:jc w:val="both"/>
        <w:rPr>
          <w:szCs w:val="18"/>
        </w:rPr>
      </w:pPr>
      <w:r w:rsidRPr="00613F73">
        <w:rPr>
          <w:szCs w:val="18"/>
        </w:rPr>
        <w:t>Dénigrement d’une entreprise concurrente : celui-ci peut se faire directement (fausses allégations méchantes sur le concurrent) ou indirectement, par omission (par exemple prétendre que l’on est les seuls à disposer d’un produit aux caractéristiques bien précises, alors que ce n’est pas exact)</w:t>
      </w:r>
    </w:p>
    <w:p w14:paraId="0693B6A0" w14:textId="77777777" w:rsidR="00613F73" w:rsidRPr="00613F73" w:rsidRDefault="00613F73" w:rsidP="00304BB1">
      <w:pPr>
        <w:jc w:val="both"/>
        <w:rPr>
          <w:szCs w:val="18"/>
        </w:rPr>
      </w:pPr>
      <w:r w:rsidRPr="00613F73">
        <w:rPr>
          <w:szCs w:val="18"/>
        </w:rPr>
        <w:t>Confusion entre les images ou les produits : imitation du nom commercial, du logo ou slogan, mais aussi le produit ou même simplement sa présentation /son emballage, si cela implique la confusion dans l’esprit des clients</w:t>
      </w:r>
    </w:p>
    <w:p w14:paraId="0693B6A1" w14:textId="77777777" w:rsidR="00613F73" w:rsidRPr="00613F73" w:rsidRDefault="00613F73" w:rsidP="00304BB1">
      <w:pPr>
        <w:jc w:val="both"/>
        <w:rPr>
          <w:szCs w:val="18"/>
        </w:rPr>
      </w:pPr>
      <w:r w:rsidRPr="00613F73">
        <w:rPr>
          <w:szCs w:val="18"/>
        </w:rPr>
        <w:t>Parasitisme commercial : c’est « rester dans la roue du concurrent », profiter de toutes ses innovations et de tous ses efforts, en profitant notamment de sa réputation et de son nom. Ainsi, en France, une marque célèbre de parfums s’est vue interdire d’utiliser le mot « Champagne » pour désigner un de ses produits, car elle profitait d’efforts et investissements d’autres pour s’approprier la notoriété de ce célèbre breuvage.</w:t>
      </w:r>
    </w:p>
    <w:p w14:paraId="0693B6A2" w14:textId="77777777" w:rsidR="00613F73" w:rsidRPr="00613F73" w:rsidRDefault="00613F73" w:rsidP="00304BB1">
      <w:pPr>
        <w:jc w:val="both"/>
      </w:pPr>
      <w:r w:rsidRPr="00613F73">
        <w:t>Débauchage abusif de personnel : cela peut être le cas si on engage un salarié en sachant qu’il est toujours lié par un contrat d’emploi ou si l’on sait qu’une clause de non-concurrence le lie à son employeur</w:t>
      </w:r>
    </w:p>
    <w:p w14:paraId="0693B6A3" w14:textId="44B5A78F" w:rsidR="00613F73" w:rsidRPr="00613F73" w:rsidRDefault="00613F73" w:rsidP="00304BB1">
      <w:pPr>
        <w:jc w:val="both"/>
      </w:pPr>
      <w:r w:rsidRPr="00613F73">
        <w:t xml:space="preserve">Les cas ci-dessus sont des cas « généraux ». Certaines législations, et notamment la loi belge du 06 avril 2010 sur les Pratiques de </w:t>
      </w:r>
      <w:r w:rsidR="00B93235" w:rsidRPr="00613F73">
        <w:t>Marché a</w:t>
      </w:r>
      <w:r w:rsidRPr="00613F73">
        <w:t xml:space="preserve"> précisé certains </w:t>
      </w:r>
      <w:r w:rsidR="00B93235" w:rsidRPr="00613F73">
        <w:t>comportement qui</w:t>
      </w:r>
      <w:r w:rsidRPr="00613F73">
        <w:t xml:space="preserve"> constituent aussi des pratiques déloyales entre entreprises (ventes à perte, …).</w:t>
      </w:r>
    </w:p>
    <w:p w14:paraId="0693B6A4" w14:textId="77777777" w:rsidR="00613F73" w:rsidRPr="00613F73" w:rsidRDefault="00613F73" w:rsidP="00304BB1">
      <w:pPr>
        <w:jc w:val="both"/>
      </w:pPr>
      <w:r w:rsidRPr="00613F73">
        <w:t>Nous ne visons pas non plus les infractions aux règles de propriété intellectuelle, qui ne sont pas, à proprement parlé, de la concurrence déloyale, mais obéissent à des règles propres.</w:t>
      </w:r>
    </w:p>
    <w:p w14:paraId="0693B6A5" w14:textId="77777777" w:rsidR="00304BB1" w:rsidRDefault="00304BB1" w:rsidP="00304BB1">
      <w:pPr>
        <w:jc w:val="both"/>
        <w:rPr>
          <w:b/>
          <w:bCs/>
          <w:u w:val="single"/>
        </w:rPr>
      </w:pPr>
    </w:p>
    <w:p w14:paraId="0693B6A6" w14:textId="77777777" w:rsidR="00613F73" w:rsidRPr="00613F73" w:rsidRDefault="00613F73" w:rsidP="00304BB1">
      <w:pPr>
        <w:jc w:val="both"/>
      </w:pPr>
      <w:r w:rsidRPr="00613F73">
        <w:rPr>
          <w:b/>
          <w:bCs/>
          <w:u w:val="single"/>
        </w:rPr>
        <w:t>Quand l’acte est-il « déloyal »</w:t>
      </w:r>
    </w:p>
    <w:p w14:paraId="0693B6A7" w14:textId="77777777" w:rsidR="00613F73" w:rsidRPr="00613F73" w:rsidRDefault="00613F73" w:rsidP="00304BB1">
      <w:pPr>
        <w:jc w:val="both"/>
      </w:pPr>
      <w:r w:rsidRPr="00613F73">
        <w:t>Pour les actes non visés précisément par des législations spéciales, les conditions habituelles de la responsabilité civile (art 1382 du code civil) s’appliquent et il faut :</w:t>
      </w:r>
    </w:p>
    <w:p w14:paraId="0693B6A8" w14:textId="77777777" w:rsidR="00613F73" w:rsidRPr="00613F73" w:rsidRDefault="00613F73" w:rsidP="00304BB1">
      <w:pPr>
        <w:jc w:val="both"/>
      </w:pPr>
      <w:r w:rsidRPr="00613F73">
        <w:t>Un comportement fautif : le préjudicié devra toujours prouver le procédé déloyal, lequel pourra résulter de l’infraction à une législation existante, ou d’un acte intentionnel</w:t>
      </w:r>
    </w:p>
    <w:p w14:paraId="0693B6A9" w14:textId="13712C40" w:rsidR="00613F73" w:rsidRPr="00613F73" w:rsidRDefault="00613F73" w:rsidP="00304BB1">
      <w:pPr>
        <w:jc w:val="both"/>
      </w:pPr>
      <w:r w:rsidRPr="00613F73">
        <w:t xml:space="preserve">Un préjudice </w:t>
      </w:r>
      <w:r w:rsidR="00B93235" w:rsidRPr="00613F73">
        <w:t>direct et</w:t>
      </w:r>
      <w:r w:rsidRPr="00613F73">
        <w:t xml:space="preserve"> certain, dans le chef de celui qui s’estime victime (perte de clientèle et de Chiffre </w:t>
      </w:r>
      <w:r w:rsidR="00B93235" w:rsidRPr="00613F73">
        <w:t>d’affaires…</w:t>
      </w:r>
      <w:r w:rsidRPr="00613F73">
        <w:t>)</w:t>
      </w:r>
    </w:p>
    <w:p w14:paraId="0693B6AA" w14:textId="77777777" w:rsidR="00613F73" w:rsidRPr="00613F73" w:rsidRDefault="00613F73" w:rsidP="00304BB1">
      <w:pPr>
        <w:jc w:val="both"/>
      </w:pPr>
      <w:r w:rsidRPr="00613F73">
        <w:t>Un lien de causalité entre la faute et le préjudice. Néanmoins, dans certains cas, la jurisprudence considère que le lien de causalité existe dès lors que la faute est établie</w:t>
      </w:r>
    </w:p>
    <w:p w14:paraId="0693B6AB" w14:textId="77777777" w:rsidR="00304BB1" w:rsidRDefault="00304BB1" w:rsidP="00304BB1">
      <w:pPr>
        <w:jc w:val="both"/>
        <w:rPr>
          <w:b/>
          <w:bCs/>
          <w:u w:val="single"/>
        </w:rPr>
      </w:pPr>
    </w:p>
    <w:p w14:paraId="0693B6AC" w14:textId="77777777" w:rsidR="00613F73" w:rsidRPr="00613F73" w:rsidRDefault="00613F73" w:rsidP="00304BB1">
      <w:pPr>
        <w:jc w:val="both"/>
      </w:pPr>
      <w:r w:rsidRPr="00613F73">
        <w:rPr>
          <w:b/>
          <w:bCs/>
          <w:u w:val="single"/>
        </w:rPr>
        <w:t>Quelles sanctions ?</w:t>
      </w:r>
    </w:p>
    <w:p w14:paraId="0693B6AD" w14:textId="6117DE6A" w:rsidR="00613F73" w:rsidRPr="00613F73" w:rsidRDefault="00613F73" w:rsidP="00304BB1">
      <w:pPr>
        <w:jc w:val="both"/>
      </w:pPr>
      <w:r w:rsidRPr="00613F73">
        <w:t xml:space="preserve">Diverses sanctions peuvent être </w:t>
      </w:r>
      <w:r w:rsidR="00B93235" w:rsidRPr="00613F73">
        <w:t>prononcées par</w:t>
      </w:r>
      <w:r w:rsidRPr="00613F73">
        <w:t xml:space="preserve"> les tribunaux de commerce, selon les cas :</w:t>
      </w:r>
    </w:p>
    <w:p w14:paraId="0693B6AE" w14:textId="77777777" w:rsidR="00613F73" w:rsidRPr="00613F73" w:rsidRDefault="00613F73" w:rsidP="00304BB1">
      <w:pPr>
        <w:jc w:val="both"/>
      </w:pPr>
      <w:r w:rsidRPr="00613F73">
        <w:t>La cessation de l’action répréhensible, éventuellement avec des astreintes si le comportement ne cesse pas.</w:t>
      </w:r>
    </w:p>
    <w:p w14:paraId="0693B6AF" w14:textId="463FF356" w:rsidR="00613F73" w:rsidRPr="00613F73" w:rsidRDefault="00613F73" w:rsidP="00304BB1">
      <w:pPr>
        <w:jc w:val="both"/>
      </w:pPr>
      <w:r w:rsidRPr="00613F73">
        <w:t xml:space="preserve">Des dommages et intérêts, en </w:t>
      </w:r>
      <w:r w:rsidR="00B93235" w:rsidRPr="00613F73">
        <w:t>réparation du</w:t>
      </w:r>
      <w:r w:rsidRPr="00613F73">
        <w:t xml:space="preserve"> préjudice</w:t>
      </w:r>
    </w:p>
    <w:p w14:paraId="0693B6B0" w14:textId="77777777" w:rsidR="00304BB1" w:rsidRDefault="00304BB1" w:rsidP="00304BB1">
      <w:pPr>
        <w:jc w:val="both"/>
        <w:rPr>
          <w:b/>
          <w:bCs/>
          <w:u w:val="single"/>
        </w:rPr>
      </w:pPr>
    </w:p>
    <w:p w14:paraId="0693B6B1" w14:textId="77777777" w:rsidR="00613F73" w:rsidRPr="00613F73" w:rsidRDefault="00613F73" w:rsidP="00304BB1">
      <w:pPr>
        <w:jc w:val="both"/>
      </w:pPr>
      <w:r w:rsidRPr="00613F73">
        <w:rPr>
          <w:b/>
          <w:bCs/>
          <w:u w:val="single"/>
        </w:rPr>
        <w:t>Non-concurrence contractuelle ?</w:t>
      </w:r>
    </w:p>
    <w:p w14:paraId="0693B6B2" w14:textId="77777777" w:rsidR="00613F73" w:rsidRPr="00613F73" w:rsidRDefault="00613F73" w:rsidP="00304BB1">
      <w:pPr>
        <w:jc w:val="both"/>
      </w:pPr>
      <w:r w:rsidRPr="00613F73">
        <w:t>Dans le cadre de contrats entre partenaires, il est souvent utile de prévoir des clauses de non-concurrence, afin d’ériger en comportement répréhensible certaines situations pas nécessairement prévues par la loi ou la jurisprudence.</w:t>
      </w:r>
    </w:p>
    <w:p w14:paraId="0693B6B3" w14:textId="77777777" w:rsidR="00613F73" w:rsidRPr="00613F73" w:rsidRDefault="00613F73" w:rsidP="00304BB1">
      <w:pPr>
        <w:jc w:val="both"/>
      </w:pPr>
      <w:r w:rsidRPr="00613F73">
        <w:t>En fonction de leur accord, les parties conviennent alors que certains comportements, qu’ils définissent dans le contrat, constitueront, pendant ou après la résiliation du contrat, des actes répréhensibles.</w:t>
      </w:r>
    </w:p>
    <w:p w14:paraId="0693B6B4" w14:textId="77777777" w:rsidR="00613F73" w:rsidRPr="00613F73" w:rsidRDefault="00613F73" w:rsidP="00304BB1">
      <w:pPr>
        <w:jc w:val="both"/>
      </w:pPr>
      <w:r w:rsidRPr="00613F73">
        <w:t>Et, dans ce cas, on prévoira des sanctions forfaitaires et irréductibles, qui éviteront, notamment, de devoir prouver l’étendue du préjudice, en cas d’infraction.</w:t>
      </w:r>
    </w:p>
    <w:p w14:paraId="0693B6B5" w14:textId="77777777" w:rsidR="00613F73" w:rsidRPr="00613F73" w:rsidRDefault="00613F73" w:rsidP="00304BB1">
      <w:pPr>
        <w:jc w:val="both"/>
      </w:pPr>
      <w:r w:rsidRPr="00613F73">
        <w:lastRenderedPageBreak/>
        <w:t>Ce type de convention doit être rédigé avec le plus grand soin, pour ne pas être écarté, voire considéré comme abusif, par les tribunaux.</w:t>
      </w:r>
      <w:r>
        <w:t> »</w:t>
      </w:r>
      <w:r>
        <w:rPr>
          <w:rStyle w:val="Appelnotedebasdep"/>
          <w:rFonts w:ascii="Verdana" w:hAnsi="Verdana"/>
          <w:color w:val="333333"/>
          <w:sz w:val="18"/>
          <w:szCs w:val="18"/>
        </w:rPr>
        <w:footnoteReference w:id="44"/>
      </w:r>
    </w:p>
    <w:p w14:paraId="0693B6B6" w14:textId="77777777" w:rsidR="00613F73" w:rsidRDefault="00613F73" w:rsidP="00304BB1"/>
    <w:p w14:paraId="60F97542" w14:textId="29F71EF7" w:rsidR="00B93235" w:rsidRPr="00AE7ABA" w:rsidRDefault="00B93235" w:rsidP="00B93235">
      <w:pPr>
        <w:pStyle w:val="Titre4"/>
        <w:rPr>
          <w:i/>
        </w:rPr>
      </w:pPr>
      <w:bookmarkStart w:id="284" w:name="_Toc477331034"/>
      <w:bookmarkStart w:id="285" w:name="_Ref477419269"/>
      <w:bookmarkStart w:id="286" w:name="_Ref477419276"/>
      <w:r w:rsidRPr="00AE7ABA">
        <w:rPr>
          <w:i/>
        </w:rPr>
        <w:t>Pratiques commerciales déloyales à l’égard des consommateurs</w:t>
      </w:r>
      <w:bookmarkEnd w:id="284"/>
      <w:bookmarkEnd w:id="285"/>
      <w:bookmarkEnd w:id="286"/>
    </w:p>
    <w:p w14:paraId="5D144F86" w14:textId="77777777" w:rsidR="00B93235" w:rsidRPr="00AE7ABA" w:rsidRDefault="00B93235" w:rsidP="00B93235">
      <w:pPr>
        <w:rPr>
          <w:i/>
        </w:rPr>
      </w:pPr>
    </w:p>
    <w:p w14:paraId="6F3BACC1" w14:textId="77777777" w:rsidR="00B93235" w:rsidRPr="00AE7ABA" w:rsidRDefault="00B93235" w:rsidP="00B93235">
      <w:pPr>
        <w:rPr>
          <w:i/>
        </w:rPr>
      </w:pPr>
      <w:r w:rsidRPr="00AE7ABA">
        <w:rPr>
          <w:i/>
        </w:rPr>
        <w:t>Articles 92 à 103 :</w:t>
      </w:r>
    </w:p>
    <w:p w14:paraId="5F5F6996" w14:textId="77777777" w:rsidR="00B93235" w:rsidRPr="00AE7ABA" w:rsidRDefault="00B93235" w:rsidP="00B93235">
      <w:pPr>
        <w:jc w:val="both"/>
        <w:rPr>
          <w:i/>
        </w:rPr>
      </w:pPr>
      <w:r w:rsidRPr="00AE7ABA">
        <w:rPr>
          <w:i/>
        </w:rPr>
        <w:t>Une pratique commerciale est déloyale lorsqu’elle est contraire aux exigences de la profession ou lorsqu’elle altère le comportement économique du consommateur.</w:t>
      </w:r>
    </w:p>
    <w:p w14:paraId="6A629AE6" w14:textId="77777777" w:rsidR="00B93235" w:rsidRPr="00AE7ABA" w:rsidRDefault="00B93235" w:rsidP="00B93235">
      <w:pPr>
        <w:jc w:val="both"/>
        <w:rPr>
          <w:i/>
        </w:rPr>
      </w:pPr>
      <w:r w:rsidRPr="00AE7ABA">
        <w:rPr>
          <w:i/>
        </w:rPr>
        <w:t>Les actes et les omissions contraires à la loi de protection des consommateurs sont interdits.</w:t>
      </w:r>
    </w:p>
    <w:p w14:paraId="63DD499C" w14:textId="1E63ABB1" w:rsidR="00B93235" w:rsidRPr="00AE7ABA" w:rsidRDefault="00B93235" w:rsidP="00B93235">
      <w:pPr>
        <w:jc w:val="both"/>
        <w:rPr>
          <w:i/>
        </w:rPr>
      </w:pPr>
      <w:r w:rsidRPr="00AE7ABA">
        <w:rPr>
          <w:i/>
        </w:rPr>
        <w:t>La pratique déloyale peut être trompeuse ou agressive. Elle est trompeuse lorsqu’elle renferme des informations fausses ou lorsqu’elle induit en erreur. Elle est agressive lorsqu’elle use du harcèlement, de contrainte ou de force physique.</w:t>
      </w:r>
    </w:p>
    <w:p w14:paraId="1B7F5D1A" w14:textId="77777777" w:rsidR="00B93235" w:rsidRPr="00AE7ABA" w:rsidRDefault="00B93235" w:rsidP="00B93235">
      <w:pPr>
        <w:pStyle w:val="Titre4"/>
        <w:rPr>
          <w:i/>
        </w:rPr>
      </w:pPr>
      <w:bookmarkStart w:id="287" w:name="_Toc477331035"/>
      <w:r w:rsidRPr="00AE7ABA">
        <w:rPr>
          <w:i/>
        </w:rPr>
        <w:t>Pratiques du marché déloyales à l’égard de personnes autres que les consommateurs</w:t>
      </w:r>
      <w:bookmarkEnd w:id="287"/>
    </w:p>
    <w:p w14:paraId="00237568" w14:textId="77777777" w:rsidR="00B93235" w:rsidRPr="00AE7ABA" w:rsidRDefault="00B93235" w:rsidP="00B93235">
      <w:pPr>
        <w:rPr>
          <w:i/>
        </w:rPr>
      </w:pPr>
    </w:p>
    <w:p w14:paraId="6B5BCAC7" w14:textId="77777777" w:rsidR="00B93235" w:rsidRPr="00AE7ABA" w:rsidRDefault="00B93235" w:rsidP="00B93235">
      <w:pPr>
        <w:rPr>
          <w:i/>
        </w:rPr>
      </w:pPr>
      <w:r w:rsidRPr="00AE7ABA">
        <w:rPr>
          <w:i/>
        </w:rPr>
        <w:t>Articles 104 à 109 :</w:t>
      </w:r>
    </w:p>
    <w:p w14:paraId="3B7F36BF" w14:textId="77777777" w:rsidR="00B93235" w:rsidRPr="00AE7ABA" w:rsidRDefault="00B93235" w:rsidP="00B93235">
      <w:pPr>
        <w:jc w:val="both"/>
        <w:rPr>
          <w:i/>
        </w:rPr>
      </w:pPr>
      <w:r w:rsidRPr="00AE7ABA">
        <w:rPr>
          <w:i/>
        </w:rPr>
        <w:t>Elles sont déloyales lorsqu’elles sont contraires aux pratiques honnêtes du marché.</w:t>
      </w:r>
    </w:p>
    <w:p w14:paraId="1A640864" w14:textId="73AC3EAD" w:rsidR="00B93235" w:rsidRPr="00AE7ABA" w:rsidRDefault="00B93235" w:rsidP="00B93235">
      <w:pPr>
        <w:jc w:val="both"/>
        <w:rPr>
          <w:i/>
        </w:rPr>
      </w:pPr>
      <w:r w:rsidRPr="00AE7ABA">
        <w:rPr>
          <w:i/>
        </w:rPr>
        <w:t>La publicité est interdite lorsqu’elle induit en erreur, qu’elle donne une mauvaise image d’une autre entreprise ou qu’elle contient une facture donnant l’impression au consommateur que le bien a déjà été commandé.</w:t>
      </w:r>
    </w:p>
    <w:p w14:paraId="0AA2B75A" w14:textId="7A95284F" w:rsidR="00B93235" w:rsidRPr="00AE7ABA" w:rsidRDefault="00B93235" w:rsidP="00B93235">
      <w:pPr>
        <w:jc w:val="both"/>
        <w:rPr>
          <w:i/>
        </w:rPr>
      </w:pPr>
      <w:r w:rsidRPr="00AE7ABA">
        <w:rPr>
          <w:i/>
        </w:rPr>
        <w:t xml:space="preserve">Il est interdit d’offrir un bien ou service à un consommateur sans son accord en lui demandant le payement de celui-ci ou le renvoi même sans frais. Un Ministre peut accorder une </w:t>
      </w:r>
      <w:r w:rsidRPr="00AE7ABA">
        <w:rPr>
          <w:i/>
          <w:color w:val="FF0000"/>
        </w:rPr>
        <w:t>dérogation</w:t>
      </w:r>
      <w:r w:rsidRPr="00AE7ABA">
        <w:rPr>
          <w:i/>
        </w:rPr>
        <w:t xml:space="preserve"> pour des offres à but philanthropique.</w:t>
      </w:r>
    </w:p>
    <w:p w14:paraId="1F60B510" w14:textId="27A5A0C7" w:rsidR="00B93235" w:rsidRPr="00AE7ABA" w:rsidRDefault="00B93235" w:rsidP="00B93235">
      <w:pPr>
        <w:jc w:val="both"/>
        <w:rPr>
          <w:i/>
        </w:rPr>
      </w:pPr>
      <w:r w:rsidRPr="00AE7ABA">
        <w:rPr>
          <w:i/>
        </w:rPr>
        <w:t>Au travers d’un système de promotion pyramidal, la contrepartie de l’entreprise doit provenir de la vente ou de la consommation et non de l’entrée de nouvelles entreprises.</w:t>
      </w:r>
    </w:p>
    <w:p w14:paraId="5C0EF795" w14:textId="77777777" w:rsidR="00B93235" w:rsidRPr="00AE7ABA" w:rsidRDefault="00B93235" w:rsidP="00B93235">
      <w:pPr>
        <w:pStyle w:val="Titre4"/>
        <w:rPr>
          <w:i/>
        </w:rPr>
      </w:pPr>
      <w:bookmarkStart w:id="288" w:name="_Toc477331036"/>
      <w:r w:rsidRPr="00AE7ABA">
        <w:rPr>
          <w:i/>
        </w:rPr>
        <w:t>Communications non souhaitées</w:t>
      </w:r>
      <w:bookmarkEnd w:id="288"/>
    </w:p>
    <w:p w14:paraId="453D07FD" w14:textId="77777777" w:rsidR="00B93235" w:rsidRPr="00AE7ABA" w:rsidRDefault="00B93235" w:rsidP="00B93235">
      <w:pPr>
        <w:rPr>
          <w:i/>
        </w:rPr>
      </w:pPr>
    </w:p>
    <w:p w14:paraId="51684E39" w14:textId="77777777" w:rsidR="00B93235" w:rsidRPr="00AE7ABA" w:rsidRDefault="00B93235" w:rsidP="00B93235">
      <w:pPr>
        <w:rPr>
          <w:i/>
        </w:rPr>
      </w:pPr>
      <w:r w:rsidRPr="00AE7ABA">
        <w:rPr>
          <w:i/>
        </w:rPr>
        <w:t>Articles 110 à 115 :</w:t>
      </w:r>
    </w:p>
    <w:p w14:paraId="298DCE54" w14:textId="77777777" w:rsidR="00B93235" w:rsidRPr="00AE7ABA" w:rsidRDefault="00B93235" w:rsidP="00B93235">
      <w:pPr>
        <w:jc w:val="both"/>
        <w:rPr>
          <w:i/>
        </w:rPr>
      </w:pPr>
      <w:r w:rsidRPr="00AE7ABA">
        <w:rPr>
          <w:i/>
        </w:rPr>
        <w:t>La communication par des systèmes automatisés est interdite sans le consentement du client. Le client peut retirer son consentement sans motif et sans frais (droit d’opposition).</w:t>
      </w:r>
    </w:p>
    <w:p w14:paraId="40313C64" w14:textId="77777777" w:rsidR="00B93235" w:rsidRPr="00AE7ABA" w:rsidRDefault="00B93235" w:rsidP="00B93235">
      <w:pPr>
        <w:jc w:val="both"/>
        <w:rPr>
          <w:i/>
        </w:rPr>
      </w:pPr>
      <w:r w:rsidRPr="00AE7ABA">
        <w:rPr>
          <w:i/>
        </w:rPr>
        <w:t>Il est interdit de dissimuler l’identité de l’entreprise lors de la communication.</w:t>
      </w:r>
    </w:p>
    <w:p w14:paraId="3BE693EE" w14:textId="0484C4C1" w:rsidR="00B93235" w:rsidRPr="00AE7ABA" w:rsidRDefault="00B93235" w:rsidP="00B93235">
      <w:pPr>
        <w:jc w:val="both"/>
        <w:rPr>
          <w:i/>
        </w:rPr>
      </w:pPr>
      <w:r w:rsidRPr="00AE7ABA">
        <w:rPr>
          <w:i/>
        </w:rPr>
        <w:t>Lors de la conclusion du contrat, l’opérateur doit informer l’abonné qu’il a un droit d’opposition gratuit qu’il peut communiquer par lettre, email ou téléphone. L’opposition doit être enregistrée dans les 5 jours ouvrables et la date d’enregistrement doit être communiquée à l’abonné.</w:t>
      </w:r>
    </w:p>
    <w:p w14:paraId="17C5F5DE" w14:textId="77777777" w:rsidR="00B93235" w:rsidRPr="00AE7ABA" w:rsidRDefault="00B93235" w:rsidP="00B93235">
      <w:pPr>
        <w:jc w:val="both"/>
        <w:rPr>
          <w:i/>
        </w:rPr>
      </w:pPr>
      <w:r w:rsidRPr="00AE7ABA">
        <w:rPr>
          <w:i/>
        </w:rPr>
        <w:t>L’opérateur doit établir un fichier comprenant les numéros de téléphones des abonnés qui ne souhaitent pas recevoir d’appel concernant le marketing direct.</w:t>
      </w:r>
    </w:p>
    <w:p w14:paraId="6B2D77E9" w14:textId="77777777" w:rsidR="00B93235" w:rsidRPr="00AE7ABA" w:rsidRDefault="00B93235" w:rsidP="00B93235">
      <w:pPr>
        <w:pStyle w:val="Titre4"/>
        <w:rPr>
          <w:i/>
        </w:rPr>
      </w:pPr>
      <w:bookmarkStart w:id="289" w:name="_Toc477331037"/>
      <w:r w:rsidRPr="00AE7ABA">
        <w:rPr>
          <w:i/>
        </w:rPr>
        <w:t>Vente à perte</w:t>
      </w:r>
      <w:bookmarkEnd w:id="289"/>
    </w:p>
    <w:p w14:paraId="4A5E28B2" w14:textId="77777777" w:rsidR="00B93235" w:rsidRPr="00AE7ABA" w:rsidRDefault="00B93235" w:rsidP="00B93235">
      <w:pPr>
        <w:rPr>
          <w:i/>
        </w:rPr>
      </w:pPr>
    </w:p>
    <w:p w14:paraId="194C02AB" w14:textId="77777777" w:rsidR="00B93235" w:rsidRPr="00AE7ABA" w:rsidRDefault="00B93235" w:rsidP="00B93235">
      <w:pPr>
        <w:rPr>
          <w:i/>
        </w:rPr>
      </w:pPr>
      <w:r w:rsidRPr="00AE7ABA">
        <w:rPr>
          <w:i/>
        </w:rPr>
        <w:t>Articles 116 et 117 :</w:t>
      </w:r>
    </w:p>
    <w:p w14:paraId="140F10F9" w14:textId="5AB20B84" w:rsidR="00B93235" w:rsidRPr="00AE7ABA" w:rsidRDefault="00B93235" w:rsidP="00B93235">
      <w:pPr>
        <w:jc w:val="both"/>
        <w:rPr>
          <w:i/>
        </w:rPr>
      </w:pPr>
      <w:r w:rsidRPr="00AE7ABA">
        <w:rPr>
          <w:i/>
        </w:rPr>
        <w:t>Il est interdit de vendre un bien à perte sauf s’il est contenu dans une offre conjointe dont l’enemble ne constitue pas une vente à perte.</w:t>
      </w:r>
    </w:p>
    <w:p w14:paraId="210AD270" w14:textId="77777777" w:rsidR="00B93235" w:rsidRPr="00AE7ABA" w:rsidRDefault="00B93235" w:rsidP="00B93235">
      <w:pPr>
        <w:spacing w:before="240"/>
        <w:rPr>
          <w:i/>
        </w:rPr>
      </w:pPr>
      <w:r w:rsidRPr="00AE7ABA">
        <w:rPr>
          <w:i/>
        </w:rPr>
        <w:t>Ne sont pas considérés comme des ventes à perte :</w:t>
      </w:r>
    </w:p>
    <w:p w14:paraId="3737CC15" w14:textId="77777777" w:rsidR="00B93235" w:rsidRPr="00AE7ABA" w:rsidRDefault="00B93235" w:rsidP="00B93235">
      <w:pPr>
        <w:pStyle w:val="Paragraphedeliste"/>
        <w:numPr>
          <w:ilvl w:val="0"/>
          <w:numId w:val="73"/>
        </w:numPr>
        <w:spacing w:after="160" w:line="259" w:lineRule="auto"/>
        <w:contextualSpacing/>
        <w:rPr>
          <w:i/>
        </w:rPr>
      </w:pPr>
      <w:r w:rsidRPr="00AE7ABA">
        <w:rPr>
          <w:i/>
        </w:rPr>
        <w:lastRenderedPageBreak/>
        <w:t>Liquidation, solde</w:t>
      </w:r>
    </w:p>
    <w:p w14:paraId="729D20B6" w14:textId="77777777" w:rsidR="00B93235" w:rsidRPr="00AE7ABA" w:rsidRDefault="00B93235" w:rsidP="00B93235">
      <w:pPr>
        <w:pStyle w:val="Paragraphedeliste"/>
        <w:numPr>
          <w:ilvl w:val="0"/>
          <w:numId w:val="73"/>
        </w:numPr>
        <w:spacing w:after="160" w:line="259" w:lineRule="auto"/>
        <w:contextualSpacing/>
        <w:rPr>
          <w:i/>
        </w:rPr>
      </w:pPr>
      <w:r w:rsidRPr="00AE7ABA">
        <w:rPr>
          <w:i/>
        </w:rPr>
        <w:t>Biens dont la conservation ne peut plus être assurée</w:t>
      </w:r>
    </w:p>
    <w:p w14:paraId="10FCD337" w14:textId="77777777" w:rsidR="00B93235" w:rsidRPr="00AE7ABA" w:rsidRDefault="00B93235" w:rsidP="00B93235">
      <w:pPr>
        <w:pStyle w:val="Paragraphedeliste"/>
        <w:numPr>
          <w:ilvl w:val="0"/>
          <w:numId w:val="73"/>
        </w:numPr>
        <w:spacing w:after="160" w:line="259" w:lineRule="auto"/>
        <w:contextualSpacing/>
        <w:rPr>
          <w:i/>
        </w:rPr>
      </w:pPr>
      <w:r w:rsidRPr="00AE7ABA">
        <w:rPr>
          <w:i/>
        </w:rPr>
        <w:t>Biens dont les prix sont imposés par la concurrence</w:t>
      </w:r>
    </w:p>
    <w:p w14:paraId="4E3FAA70" w14:textId="77777777" w:rsidR="00B93235" w:rsidRPr="00AE7ABA" w:rsidRDefault="00B93235" w:rsidP="00B93235">
      <w:pPr>
        <w:rPr>
          <w:i/>
        </w:rPr>
      </w:pPr>
      <w:r w:rsidRPr="00AE7ABA">
        <w:rPr>
          <w:i/>
        </w:rPr>
        <w:t>Toutes clauses contractuelles interdisant les ventes à perte des éléments cités ci-dessus ne sont pas opposables.</w:t>
      </w:r>
    </w:p>
    <w:p w14:paraId="4F727E4C" w14:textId="50480AB1" w:rsidR="00B93235" w:rsidRPr="00AE7ABA" w:rsidRDefault="00B93235" w:rsidP="00B93235">
      <w:pPr>
        <w:rPr>
          <w:i/>
        </w:rPr>
      </w:pPr>
    </w:p>
    <w:p w14:paraId="0693B6B7" w14:textId="6EB16114" w:rsidR="00DB4401" w:rsidRDefault="00616E7A" w:rsidP="00616E7A">
      <w:pPr>
        <w:pStyle w:val="Titre3"/>
        <w:rPr>
          <w:shd w:val="clear" w:color="auto" w:fill="FFFFFF"/>
        </w:rPr>
      </w:pPr>
      <w:bookmarkStart w:id="290" w:name="_Toc482815631"/>
      <w:r>
        <w:rPr>
          <w:shd w:val="clear" w:color="auto" w:fill="FFFFFF"/>
        </w:rPr>
        <w:t>Exemples</w:t>
      </w:r>
      <w:bookmarkEnd w:id="290"/>
    </w:p>
    <w:p w14:paraId="0693B6B8" w14:textId="77777777" w:rsidR="00616E7A" w:rsidRPr="007E6167" w:rsidRDefault="00105A84" w:rsidP="0086187F">
      <w:pPr>
        <w:numPr>
          <w:ilvl w:val="0"/>
          <w:numId w:val="52"/>
        </w:numPr>
      </w:pPr>
      <w:hyperlink r:id="rId106" w:history="1">
        <w:r w:rsidR="007E6167" w:rsidRPr="007E6167">
          <w:rPr>
            <w:rStyle w:val="Lienhypertexte"/>
            <w:rFonts w:cs="Arial"/>
            <w:color w:val="1122CC"/>
            <w:sz w:val="24"/>
            <w:shd w:val="clear" w:color="auto" w:fill="FFFFFF"/>
          </w:rPr>
          <w:t>Enquête Ikea: une société de sûreté dément tout acte frauduleux</w:t>
        </w:r>
      </w:hyperlink>
    </w:p>
    <w:p w14:paraId="0693B6B9" w14:textId="77777777" w:rsidR="007E6167" w:rsidRDefault="00105A84" w:rsidP="00AE7ABA">
      <w:pPr>
        <w:numPr>
          <w:ilvl w:val="0"/>
          <w:numId w:val="52"/>
        </w:numPr>
        <w:spacing w:before="240"/>
      </w:pPr>
      <w:hyperlink r:id="rId107" w:history="1">
        <w:r w:rsidR="007E6167" w:rsidRPr="007E6167">
          <w:rPr>
            <w:rStyle w:val="Lienhypertexte"/>
            <w:sz w:val="24"/>
          </w:rPr>
          <w:t>Une guéguerre entre deux laitiers de Mariakerke</w:t>
        </w:r>
      </w:hyperlink>
    </w:p>
    <w:p w14:paraId="0693B6BA" w14:textId="2B2D9548" w:rsidR="007E6167" w:rsidRPr="00AE7ABA" w:rsidRDefault="00105A84" w:rsidP="00AE7ABA">
      <w:pPr>
        <w:numPr>
          <w:ilvl w:val="0"/>
          <w:numId w:val="52"/>
        </w:numPr>
        <w:spacing w:before="240"/>
        <w:rPr>
          <w:rStyle w:val="Lienhypertexte"/>
          <w:color w:val="auto"/>
          <w:sz w:val="24"/>
          <w:u w:val="none"/>
        </w:rPr>
      </w:pPr>
      <w:hyperlink r:id="rId108" w:history="1">
        <w:r w:rsidR="007E6167" w:rsidRPr="007E6167">
          <w:rPr>
            <w:rStyle w:val="Lienhypertexte"/>
            <w:sz w:val="24"/>
          </w:rPr>
          <w:t>Bpost punie pour concurrence déloyale</w:t>
        </w:r>
      </w:hyperlink>
    </w:p>
    <w:p w14:paraId="0F0D16E6" w14:textId="561F935C" w:rsidR="00AE7ABA" w:rsidRPr="00AE7ABA" w:rsidRDefault="00105A84" w:rsidP="00AE7ABA">
      <w:pPr>
        <w:numPr>
          <w:ilvl w:val="0"/>
          <w:numId w:val="52"/>
        </w:numPr>
        <w:spacing w:before="240"/>
        <w:rPr>
          <w:sz w:val="24"/>
        </w:rPr>
      </w:pPr>
      <w:hyperlink r:id="rId109" w:history="1">
        <w:r w:rsidR="00AE7ABA" w:rsidRPr="00AE7ABA">
          <w:rPr>
            <w:rStyle w:val="Lienhypertexte"/>
            <w:sz w:val="24"/>
          </w:rPr>
          <w:t>Mobistar a été condamné pour publicité mensongère (pratique déloyale trompeuse : Article 97 du Code de droit économique)</w:t>
        </w:r>
      </w:hyperlink>
    </w:p>
    <w:p w14:paraId="0EC4C4C6" w14:textId="48CF3260" w:rsidR="00AE7ABA" w:rsidRPr="007E6167" w:rsidRDefault="00105A84" w:rsidP="00AE7ABA">
      <w:pPr>
        <w:numPr>
          <w:ilvl w:val="0"/>
          <w:numId w:val="52"/>
        </w:numPr>
        <w:spacing w:before="240"/>
        <w:rPr>
          <w:sz w:val="24"/>
        </w:rPr>
      </w:pPr>
      <w:hyperlink r:id="rId110" w:history="1">
        <w:r w:rsidR="00AE7ABA" w:rsidRPr="00AE7ABA">
          <w:rPr>
            <w:rStyle w:val="Lienhypertexte"/>
            <w:sz w:val="24"/>
          </w:rPr>
          <w:t>Certains produits Iglo contenant de la viande de cheval sont retirés du marché (pratique déloyale trompeuse quant à la nature du produit : Article 97 1° du Code de droit économique)</w:t>
        </w:r>
      </w:hyperlink>
    </w:p>
    <w:p w14:paraId="0693B6BC" w14:textId="6462C5F4" w:rsidR="00C57C14" w:rsidRDefault="00C57C14" w:rsidP="006F75CE">
      <w:pPr>
        <w:pStyle w:val="StyleAprs14pt"/>
      </w:pPr>
    </w:p>
    <w:p w14:paraId="0693B6BD" w14:textId="77777777" w:rsidR="009B00BB" w:rsidRDefault="009B00BB" w:rsidP="00105A84">
      <w:pPr>
        <w:pStyle w:val="Titre2"/>
      </w:pPr>
      <w:bookmarkStart w:id="291" w:name="Contrefa_on_Travail_de_groupe_"/>
      <w:bookmarkStart w:id="292" w:name="_Toc482815632"/>
      <w:bookmarkEnd w:id="291"/>
      <w:r>
        <w:t>Pratiques interdites altérant la libre concurrence</w:t>
      </w:r>
      <w:bookmarkEnd w:id="292"/>
    </w:p>
    <w:p w14:paraId="0693B6BE" w14:textId="77777777" w:rsidR="009B00BB" w:rsidRPr="009B00BB" w:rsidRDefault="009B00BB" w:rsidP="009B00BB">
      <w:r>
        <w:t>A compléter. Voir carte mentale du cours.</w:t>
      </w:r>
    </w:p>
    <w:p w14:paraId="0693B6BF" w14:textId="77777777" w:rsidR="004C64BF" w:rsidRDefault="004C64BF" w:rsidP="00105A84">
      <w:pPr>
        <w:pStyle w:val="Titre2"/>
      </w:pPr>
      <w:bookmarkStart w:id="293" w:name="Nom_commercial_logo_marque_Tra"/>
      <w:bookmarkStart w:id="294" w:name="_Toc482815633"/>
      <w:bookmarkEnd w:id="293"/>
      <w:r>
        <w:t>Nom commercial, logo, marque</w:t>
      </w:r>
      <w:bookmarkEnd w:id="294"/>
      <w:r>
        <w:t xml:space="preserve"> </w:t>
      </w:r>
    </w:p>
    <w:p w14:paraId="0693B6C0" w14:textId="77777777" w:rsidR="00630CF9" w:rsidRPr="001C756E" w:rsidRDefault="00630CF9" w:rsidP="00630CF9">
      <w:pPr>
        <w:pStyle w:val="StyleAprs14pt"/>
      </w:pPr>
      <w:r>
        <w:t>La synthèse qui suit provient du groupe de travail constitué des personnes suivantes :</w:t>
      </w:r>
      <w:r w:rsidRPr="003F3E97">
        <w:t xml:space="preserve"> </w:t>
      </w:r>
      <w:r w:rsidRPr="001C756E">
        <w:t xml:space="preserve">Dimitri </w:t>
      </w:r>
      <w:r w:rsidR="003F3E97" w:rsidRPr="001C756E">
        <w:t>VANDEN BERGHE</w:t>
      </w:r>
      <w:r w:rsidRPr="001C756E">
        <w:t xml:space="preserve">, Séverine </w:t>
      </w:r>
      <w:r w:rsidR="003F3E97" w:rsidRPr="001C756E">
        <w:t>DENIS</w:t>
      </w:r>
      <w:r w:rsidRPr="001C756E">
        <w:t xml:space="preserve">, Blhal </w:t>
      </w:r>
      <w:r w:rsidR="003F3E97" w:rsidRPr="001C756E">
        <w:t>GHALI</w:t>
      </w:r>
      <w:r w:rsidRPr="001C756E">
        <w:t xml:space="preserve">, </w:t>
      </w:r>
      <w:r w:rsidR="003F3E97" w:rsidRPr="001C756E">
        <w:t>Zaraoui WARDAZA</w:t>
      </w:r>
      <w:r w:rsidRPr="001C756E">
        <w:t>.</w:t>
      </w:r>
    </w:p>
    <w:p w14:paraId="0693B6C1" w14:textId="1E80FF17" w:rsidR="00D90FE1" w:rsidRDefault="00D90FE1" w:rsidP="00D90FE1">
      <w:pPr>
        <w:pStyle w:val="StyleAprs14pt"/>
      </w:pPr>
      <w:r>
        <w:t xml:space="preserve">Voir également les travaux de groupe sur </w:t>
      </w:r>
      <w:r w:rsidR="00B93235">
        <w:t>Chamilo</w:t>
      </w:r>
      <w:r>
        <w:t xml:space="preserve"> / législatio</w:t>
      </w:r>
      <w:r w:rsidR="00E02E17">
        <w:t xml:space="preserve">n et droit commercial / Travaux, ainsi que </w:t>
      </w:r>
      <w:hyperlink r:id="rId111" w:history="1">
        <w:r w:rsidR="00E02E17" w:rsidRPr="00006BB0">
          <w:rPr>
            <w:rStyle w:val="Lienhypertexte"/>
          </w:rPr>
          <w:t>http://www.droitbelge.be/propriete_intellectuelle.asp</w:t>
        </w:r>
      </w:hyperlink>
      <w:r w:rsidR="00E02E17">
        <w:t xml:space="preserve">. </w:t>
      </w:r>
    </w:p>
    <w:p w14:paraId="0693B6C2" w14:textId="618049AC" w:rsidR="009B00BB" w:rsidRDefault="009B00BB" w:rsidP="00D90FE1">
      <w:pPr>
        <w:pStyle w:val="StyleAprs14pt"/>
      </w:pPr>
      <w:r>
        <w:t xml:space="preserve">Référence : </w:t>
      </w:r>
      <w:r w:rsidR="00A71C07">
        <w:t>DENIS, Philippe, Droit des Affaires, Larcier – Manuels, Belgique, 2012, pp. 68-72.</w:t>
      </w:r>
    </w:p>
    <w:p w14:paraId="11973CEE" w14:textId="161A9887" w:rsidR="00D12868" w:rsidRDefault="00D12868" w:rsidP="00D90FE1">
      <w:pPr>
        <w:pStyle w:val="StyleAprs14pt"/>
      </w:pPr>
      <w:r>
        <w:t xml:space="preserve">Consulter également l’excellente synthèse fournie par le </w:t>
      </w:r>
      <w:hyperlink r:id="rId112" w:history="1">
        <w:r w:rsidRPr="00D12868">
          <w:rPr>
            <w:rStyle w:val="Lienhypertexte"/>
          </w:rPr>
          <w:t>groupe LANAYA &amp; BAJRAMI</w:t>
        </w:r>
      </w:hyperlink>
    </w:p>
    <w:p w14:paraId="0693B6C3" w14:textId="77777777" w:rsidR="00630CF9" w:rsidRPr="00630CF9" w:rsidRDefault="00630CF9" w:rsidP="00630CF9">
      <w:pPr>
        <w:pStyle w:val="Titre3"/>
        <w:rPr>
          <w:lang w:eastAsia="en-US"/>
        </w:rPr>
      </w:pPr>
      <w:bookmarkStart w:id="295" w:name="_Toc482815634"/>
      <w:r w:rsidRPr="00630CF9">
        <w:rPr>
          <w:lang w:eastAsia="en-US"/>
        </w:rPr>
        <w:t>Introduction</w:t>
      </w:r>
      <w:bookmarkEnd w:id="295"/>
    </w:p>
    <w:p w14:paraId="0693B6C4" w14:textId="77777777"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Historiquement, le droit d’auteur, pour le cinéma par exemple, n’est réellement protégé en Europe que depuis 1957. </w:t>
      </w:r>
    </w:p>
    <w:p w14:paraId="0693B6C5" w14:textId="77777777" w:rsidR="00630CF9" w:rsidRPr="00630CF9" w:rsidRDefault="00630CF9" w:rsidP="00630CF9">
      <w:pPr>
        <w:shd w:val="clear" w:color="auto" w:fill="FFFFFF"/>
        <w:jc w:val="both"/>
        <w:rPr>
          <w:rFonts w:cs="Arial"/>
          <w:szCs w:val="20"/>
          <w:lang w:eastAsia="en-US"/>
        </w:rPr>
      </w:pPr>
      <w:r w:rsidRPr="00630CF9">
        <w:rPr>
          <w:rFonts w:cs="Arial"/>
          <w:szCs w:val="20"/>
          <w:lang w:eastAsia="en-US"/>
        </w:rPr>
        <w:t>La protection de l’idée, du droit de propriété intellectuelle ne trouverait vraiment sa véritable législation qu’au 18</w:t>
      </w:r>
      <w:r w:rsidRPr="00630CF9">
        <w:rPr>
          <w:rFonts w:cs="Arial"/>
          <w:szCs w:val="20"/>
          <w:vertAlign w:val="superscript"/>
          <w:lang w:eastAsia="en-US"/>
        </w:rPr>
        <w:t>e</w:t>
      </w:r>
      <w:r w:rsidRPr="00630CF9">
        <w:rPr>
          <w:rFonts w:cs="Arial"/>
          <w:szCs w:val="20"/>
          <w:lang w:eastAsia="en-US"/>
        </w:rPr>
        <w:t xml:space="preserve"> siècle en Angleterre.</w:t>
      </w:r>
    </w:p>
    <w:p w14:paraId="0693B6C6" w14:textId="3891F213" w:rsidR="00630CF9" w:rsidRPr="00630CF9" w:rsidRDefault="00630CF9" w:rsidP="00630CF9">
      <w:pPr>
        <w:shd w:val="clear" w:color="auto" w:fill="FFFFFF"/>
        <w:jc w:val="both"/>
        <w:rPr>
          <w:rFonts w:cs="Arial"/>
          <w:szCs w:val="20"/>
          <w:lang w:eastAsia="en-US"/>
        </w:rPr>
      </w:pPr>
      <w:r w:rsidRPr="00630CF9">
        <w:rPr>
          <w:rFonts w:cs="Arial"/>
          <w:szCs w:val="20"/>
          <w:lang w:eastAsia="en-US"/>
        </w:rPr>
        <w:lastRenderedPageBreak/>
        <w:t xml:space="preserve">En ce devoir, il s’agira surtout de différencier le concept de droit d’auteur dans la législation en droit commercial, droit </w:t>
      </w:r>
      <w:r w:rsidR="00174C85" w:rsidRPr="00630CF9">
        <w:rPr>
          <w:rFonts w:cs="Arial"/>
          <w:szCs w:val="20"/>
          <w:lang w:eastAsia="en-US"/>
        </w:rPr>
        <w:t>civil, du</w:t>
      </w:r>
      <w:r w:rsidRPr="00630CF9">
        <w:rPr>
          <w:rFonts w:cs="Arial"/>
          <w:szCs w:val="20"/>
          <w:lang w:eastAsia="en-US"/>
        </w:rPr>
        <w:t xml:space="preserve"> principe de </w:t>
      </w:r>
      <w:r w:rsidR="00174C85" w:rsidRPr="00630CF9">
        <w:rPr>
          <w:rFonts w:cs="Arial"/>
          <w:szCs w:val="20"/>
          <w:lang w:eastAsia="en-US"/>
        </w:rPr>
        <w:t>dépôt de</w:t>
      </w:r>
      <w:r w:rsidRPr="00630CF9">
        <w:rPr>
          <w:rFonts w:cs="Arial"/>
          <w:szCs w:val="20"/>
          <w:lang w:eastAsia="en-US"/>
        </w:rPr>
        <w:t xml:space="preserve"> marque associé à la création d’un produit par exemple sous le couvert d’une création de société et de venir vers la notion de propriété intellectuelle.</w:t>
      </w:r>
    </w:p>
    <w:p w14:paraId="0693B6C7" w14:textId="77777777" w:rsidR="00630CF9" w:rsidRPr="00630CF9" w:rsidRDefault="00630CF9" w:rsidP="00630CF9">
      <w:pPr>
        <w:shd w:val="clear" w:color="auto" w:fill="FFFFFF"/>
        <w:jc w:val="both"/>
        <w:rPr>
          <w:rFonts w:cs="Arial"/>
          <w:szCs w:val="20"/>
          <w:lang w:eastAsia="en-US"/>
        </w:rPr>
      </w:pPr>
    </w:p>
    <w:p w14:paraId="0693B6C8" w14:textId="34781781"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La création d’un logo en sous-exemple et sa protection par l’artiste qui la </w:t>
      </w:r>
      <w:r w:rsidR="00174C85" w:rsidRPr="00630CF9">
        <w:rPr>
          <w:rFonts w:cs="Arial"/>
          <w:szCs w:val="20"/>
          <w:lang w:eastAsia="en-US"/>
        </w:rPr>
        <w:t>créé est</w:t>
      </w:r>
      <w:r w:rsidRPr="00630CF9">
        <w:rPr>
          <w:rFonts w:cs="Arial"/>
          <w:szCs w:val="20"/>
          <w:lang w:eastAsia="en-US"/>
        </w:rPr>
        <w:t xml:space="preserve">-elle </w:t>
      </w:r>
      <w:r w:rsidR="00174C85" w:rsidRPr="00630CF9">
        <w:rPr>
          <w:rFonts w:cs="Arial"/>
          <w:szCs w:val="20"/>
          <w:lang w:eastAsia="en-US"/>
        </w:rPr>
        <w:t>juridiquement comparable</w:t>
      </w:r>
      <w:r w:rsidRPr="00630CF9">
        <w:rPr>
          <w:rFonts w:cs="Arial"/>
          <w:szCs w:val="20"/>
          <w:lang w:eastAsia="en-US"/>
        </w:rPr>
        <w:t xml:space="preserve"> au dépôt d’une marque ?</w:t>
      </w:r>
    </w:p>
    <w:p w14:paraId="0693B6C9" w14:textId="77777777" w:rsidR="00630CF9" w:rsidRPr="00630CF9" w:rsidRDefault="00630CF9" w:rsidP="00630CF9">
      <w:pPr>
        <w:shd w:val="clear" w:color="auto" w:fill="FFFFFF"/>
        <w:jc w:val="both"/>
        <w:rPr>
          <w:rFonts w:cs="Arial"/>
          <w:szCs w:val="20"/>
          <w:lang w:eastAsia="en-US"/>
        </w:rPr>
      </w:pPr>
      <w:r w:rsidRPr="00630CF9">
        <w:rPr>
          <w:rFonts w:cs="Arial"/>
          <w:szCs w:val="20"/>
          <w:lang w:eastAsia="en-US"/>
        </w:rPr>
        <w:t>Un concept de société, un principe, une idée de société, d’une marque, rentre-il en le cadre d’un enregistrement avec ouverture de compte TVA et quelles sont les différences entre la création d’une société et la protection des droits d’auteurs ou de la propriété intellectuelle de la protection d’un logo.</w:t>
      </w:r>
    </w:p>
    <w:p w14:paraId="0693B6CA" w14:textId="384B56BD"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Tout l’objet de ce devoir sera d’établir toutes ces différences, de faire la clarté sur les possibilités qui s’offrent </w:t>
      </w:r>
      <w:r w:rsidR="00174C85" w:rsidRPr="00630CF9">
        <w:rPr>
          <w:rFonts w:cs="Arial"/>
          <w:szCs w:val="20"/>
          <w:lang w:eastAsia="en-US"/>
        </w:rPr>
        <w:t>au futur entrepreneur</w:t>
      </w:r>
      <w:r w:rsidRPr="00630CF9">
        <w:rPr>
          <w:rFonts w:cs="Arial"/>
          <w:szCs w:val="20"/>
          <w:lang w:eastAsia="en-US"/>
        </w:rPr>
        <w:t>, aux futurs créateurs, auteurs, toutes personnes qui concrétisera une idée sous forme de marque, de logos, de produits ou d’idées de produits associés à une marque, à un nom d’entreprise, à un logo.</w:t>
      </w:r>
    </w:p>
    <w:p w14:paraId="0693B6CB" w14:textId="77777777" w:rsidR="00630CF9" w:rsidRPr="00630CF9" w:rsidRDefault="00630CF9" w:rsidP="00630CF9">
      <w:pPr>
        <w:shd w:val="clear" w:color="auto" w:fill="FFFFFF"/>
        <w:jc w:val="both"/>
        <w:rPr>
          <w:rFonts w:cs="Arial"/>
          <w:szCs w:val="20"/>
          <w:lang w:eastAsia="en-US"/>
        </w:rPr>
      </w:pPr>
    </w:p>
    <w:p w14:paraId="0693B6CC" w14:textId="0E2329F7"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Suite à cette introduction se trouvera le développement </w:t>
      </w:r>
      <w:r w:rsidR="00174C85" w:rsidRPr="00630CF9">
        <w:rPr>
          <w:rFonts w:cs="Arial"/>
          <w:szCs w:val="20"/>
          <w:lang w:eastAsia="en-US"/>
        </w:rPr>
        <w:t>suivi par</w:t>
      </w:r>
      <w:r w:rsidRPr="00630CF9">
        <w:rPr>
          <w:rFonts w:cs="Arial"/>
          <w:szCs w:val="20"/>
          <w:lang w:eastAsia="en-US"/>
        </w:rPr>
        <w:t xml:space="preserve"> la </w:t>
      </w:r>
      <w:r w:rsidR="00174C85" w:rsidRPr="00630CF9">
        <w:rPr>
          <w:rFonts w:cs="Arial"/>
          <w:szCs w:val="20"/>
          <w:lang w:eastAsia="en-US"/>
        </w:rPr>
        <w:t>conclusion, les</w:t>
      </w:r>
      <w:r w:rsidRPr="00630CF9">
        <w:rPr>
          <w:rFonts w:cs="Arial"/>
          <w:szCs w:val="20"/>
          <w:lang w:eastAsia="en-US"/>
        </w:rPr>
        <w:t xml:space="preserve"> sources, la bibliographie et les annexes. </w:t>
      </w:r>
    </w:p>
    <w:p w14:paraId="0693B6CD" w14:textId="59AFF0BF"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Sur un ton badin, cette première page représente déjà un délit potentiel </w:t>
      </w:r>
      <w:r w:rsidR="00174C85" w:rsidRPr="00630CF9">
        <w:rPr>
          <w:rFonts w:cs="Arial"/>
          <w:szCs w:val="20"/>
          <w:lang w:eastAsia="en-US"/>
        </w:rPr>
        <w:t>et une</w:t>
      </w:r>
      <w:r w:rsidRPr="00630CF9">
        <w:rPr>
          <w:rFonts w:cs="Arial"/>
          <w:szCs w:val="20"/>
          <w:lang w:eastAsia="en-US"/>
        </w:rPr>
        <w:t xml:space="preserve"> </w:t>
      </w:r>
      <w:r w:rsidR="00174C85" w:rsidRPr="00630CF9">
        <w:rPr>
          <w:rFonts w:cs="Arial"/>
          <w:szCs w:val="20"/>
          <w:lang w:eastAsia="en-US"/>
        </w:rPr>
        <w:t>violation potentielle</w:t>
      </w:r>
      <w:r w:rsidRPr="00630CF9">
        <w:rPr>
          <w:rFonts w:cs="Arial"/>
          <w:szCs w:val="20"/>
          <w:lang w:eastAsia="en-US"/>
        </w:rPr>
        <w:t xml:space="preserve">  de  droit d’auteurs  attendu  que l’image ci-posée est imprimée en cette  thèse sans la moindre  autorisation car  sans savoir si cette image est déposée et enregistrée.</w:t>
      </w:r>
    </w:p>
    <w:p w14:paraId="0693B6CE" w14:textId="77724CE7" w:rsidR="00630CF9" w:rsidRPr="00630CF9" w:rsidRDefault="00630CF9" w:rsidP="00630CF9">
      <w:pPr>
        <w:shd w:val="clear" w:color="auto" w:fill="FFFFFF"/>
        <w:jc w:val="both"/>
        <w:rPr>
          <w:rFonts w:cs="Arial"/>
          <w:szCs w:val="20"/>
          <w:lang w:eastAsia="en-US"/>
        </w:rPr>
      </w:pPr>
      <w:r w:rsidRPr="00630CF9">
        <w:rPr>
          <w:rFonts w:cs="Arial"/>
          <w:szCs w:val="20"/>
          <w:lang w:eastAsia="en-US"/>
        </w:rPr>
        <w:t xml:space="preserve">Cela </w:t>
      </w:r>
      <w:r w:rsidR="00174C85" w:rsidRPr="00630CF9">
        <w:rPr>
          <w:rFonts w:cs="Arial"/>
          <w:szCs w:val="20"/>
          <w:lang w:eastAsia="en-US"/>
        </w:rPr>
        <w:t>n’entrerait</w:t>
      </w:r>
      <w:r w:rsidRPr="00630CF9">
        <w:rPr>
          <w:rFonts w:cs="Arial"/>
          <w:szCs w:val="20"/>
          <w:lang w:eastAsia="en-US"/>
        </w:rPr>
        <w:t xml:space="preserve"> vraiment dans l’illégalité que si cette explosé était mis en vente avec l’appropriation de cette idée.</w:t>
      </w:r>
    </w:p>
    <w:p w14:paraId="0693B6CF" w14:textId="77777777" w:rsidR="00630CF9" w:rsidRPr="00630CF9" w:rsidRDefault="00630CF9" w:rsidP="00630CF9">
      <w:pPr>
        <w:shd w:val="clear" w:color="auto" w:fill="FFFFFF"/>
        <w:jc w:val="both"/>
        <w:rPr>
          <w:rFonts w:cs="Arial"/>
          <w:szCs w:val="20"/>
          <w:lang w:eastAsia="en-US"/>
        </w:rPr>
      </w:pPr>
    </w:p>
    <w:p w14:paraId="0693B6D0" w14:textId="77777777" w:rsidR="00630CF9" w:rsidRPr="00630CF9" w:rsidRDefault="00630CF9" w:rsidP="00630CF9">
      <w:pPr>
        <w:shd w:val="clear" w:color="auto" w:fill="FFFFFF"/>
        <w:jc w:val="both"/>
        <w:rPr>
          <w:rFonts w:cs="Arial"/>
          <w:szCs w:val="20"/>
          <w:lang w:eastAsia="en-US"/>
        </w:rPr>
      </w:pPr>
      <w:r w:rsidRPr="00630CF9">
        <w:rPr>
          <w:rFonts w:cs="Arial"/>
          <w:szCs w:val="20"/>
          <w:lang w:eastAsia="en-US"/>
        </w:rPr>
        <w:t>Et de souhaiter bien respectueusement bonne lecture.</w:t>
      </w:r>
    </w:p>
    <w:p w14:paraId="0693B6D1" w14:textId="77777777" w:rsidR="00630CF9" w:rsidRPr="00630CF9" w:rsidRDefault="00630CF9" w:rsidP="00630CF9">
      <w:pPr>
        <w:shd w:val="clear" w:color="auto" w:fill="FFFFFF"/>
        <w:jc w:val="both"/>
        <w:rPr>
          <w:rFonts w:cs="Arial"/>
          <w:szCs w:val="20"/>
          <w:lang w:eastAsia="en-US"/>
        </w:rPr>
      </w:pPr>
    </w:p>
    <w:p w14:paraId="0693B6D2" w14:textId="77777777" w:rsidR="00630CF9" w:rsidRPr="00630CF9" w:rsidRDefault="00630CF9" w:rsidP="00630CF9">
      <w:pPr>
        <w:shd w:val="clear" w:color="auto" w:fill="FFFFFF"/>
        <w:jc w:val="both"/>
        <w:rPr>
          <w:rFonts w:cs="Arial"/>
          <w:szCs w:val="20"/>
          <w:lang w:eastAsia="en-US"/>
        </w:rPr>
      </w:pPr>
    </w:p>
    <w:p w14:paraId="0693B6D3" w14:textId="77777777" w:rsidR="00630CF9" w:rsidRPr="00630CF9" w:rsidRDefault="00630CF9" w:rsidP="00630CF9">
      <w:pPr>
        <w:shd w:val="clear" w:color="auto" w:fill="FFFFFF"/>
        <w:jc w:val="both"/>
        <w:rPr>
          <w:rFonts w:cs="Arial"/>
          <w:i/>
          <w:szCs w:val="20"/>
          <w:lang w:eastAsia="en-US"/>
        </w:rPr>
      </w:pPr>
      <w:r w:rsidRPr="00630CF9">
        <w:rPr>
          <w:rFonts w:cs="Arial"/>
          <w:i/>
          <w:szCs w:val="20"/>
          <w:lang w:eastAsia="en-US"/>
        </w:rPr>
        <w:t>Dimitri Vanden Berghe</w:t>
      </w:r>
    </w:p>
    <w:p w14:paraId="0693B6D4" w14:textId="77777777" w:rsidR="00EF78CF" w:rsidRDefault="00EF78CF" w:rsidP="00EF78CF">
      <w:pPr>
        <w:pStyle w:val="Titre3"/>
      </w:pPr>
      <w:bookmarkStart w:id="296" w:name="_Toc482815635"/>
      <w:r>
        <w:t>Cadre du logo</w:t>
      </w:r>
      <w:bookmarkEnd w:id="296"/>
    </w:p>
    <w:p w14:paraId="0693B6D5" w14:textId="77777777" w:rsidR="00EF78CF" w:rsidRPr="003F3E97" w:rsidRDefault="00EF78CF" w:rsidP="00EF78CF">
      <w:pPr>
        <w:pStyle w:val="Sansinterligne"/>
        <w:shd w:val="clear" w:color="auto" w:fill="FFFFFF"/>
        <w:jc w:val="both"/>
        <w:rPr>
          <w:rFonts w:cs="Arial"/>
          <w:szCs w:val="20"/>
        </w:rPr>
      </w:pPr>
      <w:r w:rsidRPr="003F3E97">
        <w:rPr>
          <w:rFonts w:cs="Arial"/>
          <w:szCs w:val="20"/>
        </w:rPr>
        <w:t>En droit civil, l’on nomme la création en latin juridique « Inventio».</w:t>
      </w:r>
      <w:r w:rsidR="003F3E97" w:rsidRPr="003F3E97">
        <w:rPr>
          <w:rFonts w:cs="Arial"/>
          <w:szCs w:val="20"/>
        </w:rPr>
        <w:t xml:space="preserve"> </w:t>
      </w:r>
      <w:r w:rsidRPr="003F3E97">
        <w:rPr>
          <w:rFonts w:cs="Arial"/>
          <w:szCs w:val="20"/>
        </w:rPr>
        <w:t>(Source, maitre Jeanray, professeur de droit des biens et obligations)</w:t>
      </w:r>
      <w:r w:rsidR="003F3E97" w:rsidRPr="003F3E97">
        <w:rPr>
          <w:rFonts w:cs="Arial"/>
          <w:szCs w:val="20"/>
        </w:rPr>
        <w:t>.</w:t>
      </w:r>
    </w:p>
    <w:p w14:paraId="0693B6D6" w14:textId="77777777" w:rsidR="00EF78CF" w:rsidRPr="00EF78CF" w:rsidRDefault="00EF78CF" w:rsidP="00EF78CF">
      <w:pPr>
        <w:pStyle w:val="Sansinterligne"/>
        <w:shd w:val="clear" w:color="auto" w:fill="FFFFFF"/>
        <w:jc w:val="both"/>
        <w:rPr>
          <w:rFonts w:cs="Arial"/>
          <w:i/>
          <w:szCs w:val="20"/>
        </w:rPr>
      </w:pPr>
    </w:p>
    <w:p w14:paraId="0693B6D7" w14:textId="77777777" w:rsidR="00EF78CF" w:rsidRPr="00EF78CF" w:rsidRDefault="00EF78CF" w:rsidP="00EF78CF">
      <w:pPr>
        <w:pStyle w:val="Sansinterligne"/>
        <w:shd w:val="clear" w:color="auto" w:fill="FFFFFF"/>
        <w:jc w:val="both"/>
        <w:rPr>
          <w:rFonts w:cs="Arial"/>
          <w:szCs w:val="20"/>
        </w:rPr>
      </w:pPr>
      <w:r w:rsidRPr="00EF78CF">
        <w:rPr>
          <w:rFonts w:cs="Arial"/>
          <w:szCs w:val="20"/>
        </w:rPr>
        <w:t>Cette création arrive « de facto » à la propriété de l’auteur, de l’artiste qui aura créé le logo.</w:t>
      </w:r>
    </w:p>
    <w:p w14:paraId="0693B6D8" w14:textId="77777777" w:rsidR="00EF78CF" w:rsidRPr="00EF78CF" w:rsidRDefault="00EF78CF" w:rsidP="00EF78CF">
      <w:pPr>
        <w:pStyle w:val="Sansinterligne"/>
        <w:shd w:val="clear" w:color="auto" w:fill="FFFFFF"/>
        <w:jc w:val="both"/>
        <w:rPr>
          <w:rFonts w:cs="Arial"/>
          <w:szCs w:val="20"/>
        </w:rPr>
      </w:pPr>
      <w:r w:rsidRPr="00EF78CF">
        <w:rPr>
          <w:rFonts w:cs="Arial"/>
          <w:szCs w:val="20"/>
        </w:rPr>
        <w:t>Même si il est avéré que de par sa signature, l’origine de sa société potentielle d’art graphique, par exemple, qu’il en fut l’auteur, le propriétaire, il est tout de même conseillé à notre inventeur d’enregistrer son œuvre.</w:t>
      </w:r>
    </w:p>
    <w:p w14:paraId="0693B6D9" w14:textId="77777777" w:rsidR="00EF78CF" w:rsidRPr="00EF78CF" w:rsidRDefault="00EF78CF" w:rsidP="00EF78CF">
      <w:pPr>
        <w:pStyle w:val="Sansinterligne"/>
        <w:shd w:val="clear" w:color="auto" w:fill="FFFFFF"/>
        <w:jc w:val="both"/>
        <w:rPr>
          <w:rFonts w:cs="Arial"/>
          <w:szCs w:val="20"/>
        </w:rPr>
      </w:pPr>
      <w:r w:rsidRPr="00EF78CF">
        <w:rPr>
          <w:rFonts w:cs="Arial"/>
          <w:szCs w:val="20"/>
        </w:rPr>
        <w:t>Ce serait une première différenciation par rapport au système et au concept de marque même si il y a certains points communs qui seront vus plus tard.</w:t>
      </w:r>
    </w:p>
    <w:p w14:paraId="0693B6DA" w14:textId="77777777" w:rsidR="00EF78CF" w:rsidRPr="00EF78CF" w:rsidRDefault="00EF78CF" w:rsidP="00EF78CF">
      <w:pPr>
        <w:pStyle w:val="Sansinterligne"/>
        <w:shd w:val="clear" w:color="auto" w:fill="FFFFFF"/>
        <w:jc w:val="both"/>
        <w:rPr>
          <w:rFonts w:cs="Arial"/>
          <w:szCs w:val="20"/>
        </w:rPr>
      </w:pPr>
      <w:r w:rsidRPr="00EF78CF">
        <w:rPr>
          <w:rFonts w:cs="Arial"/>
          <w:szCs w:val="20"/>
        </w:rPr>
        <w:t>Le logo peut être l’image d’une marque mais est une création en elle-même et, en entre autres exemples, si imprimé, cela nous donnera le schéma juridique suivant.</w:t>
      </w:r>
    </w:p>
    <w:p w14:paraId="0693B6DB" w14:textId="77777777" w:rsidR="00EF78CF" w:rsidRPr="00EF78CF" w:rsidRDefault="00EF78CF" w:rsidP="00EF78CF">
      <w:pPr>
        <w:pStyle w:val="Sansinterligne"/>
        <w:shd w:val="clear" w:color="auto" w:fill="FFFFFF"/>
        <w:jc w:val="both"/>
        <w:rPr>
          <w:rFonts w:cs="Arial"/>
          <w:szCs w:val="20"/>
        </w:rPr>
      </w:pPr>
    </w:p>
    <w:p w14:paraId="0693B6DC" w14:textId="77777777" w:rsidR="00EF78CF" w:rsidRPr="00EF78CF" w:rsidRDefault="00EF78CF" w:rsidP="00EF78CF">
      <w:pPr>
        <w:pStyle w:val="Sansinterligne"/>
        <w:shd w:val="clear" w:color="auto" w:fill="FFFFFF"/>
        <w:jc w:val="both"/>
        <w:rPr>
          <w:rFonts w:cs="Arial"/>
          <w:szCs w:val="20"/>
        </w:rPr>
      </w:pPr>
      <w:r w:rsidRPr="00EF78CF">
        <w:rPr>
          <w:rFonts w:cs="Arial"/>
          <w:szCs w:val="20"/>
        </w:rPr>
        <w:t>Comment cela marche-t-il pour le béotien ?</w:t>
      </w:r>
    </w:p>
    <w:p w14:paraId="0693B6DD" w14:textId="77777777" w:rsidR="00EF78CF" w:rsidRPr="00EF78CF" w:rsidRDefault="00EF78CF" w:rsidP="00EF78CF">
      <w:pPr>
        <w:pStyle w:val="Sansinterligne"/>
        <w:shd w:val="clear" w:color="auto" w:fill="FFFFFF"/>
        <w:jc w:val="both"/>
        <w:rPr>
          <w:rFonts w:cs="Arial"/>
          <w:szCs w:val="20"/>
        </w:rPr>
      </w:pPr>
    </w:p>
    <w:p w14:paraId="0693B6DE" w14:textId="77777777" w:rsidR="00EF78CF" w:rsidRPr="00EF78CF" w:rsidRDefault="00EF78CF" w:rsidP="00EF78CF">
      <w:pPr>
        <w:pStyle w:val="Sansinterligne"/>
        <w:shd w:val="clear" w:color="auto" w:fill="FFFFFF"/>
        <w:jc w:val="both"/>
        <w:rPr>
          <w:rFonts w:cs="Arial"/>
          <w:szCs w:val="20"/>
        </w:rPr>
      </w:pPr>
      <w:r w:rsidRPr="00EF78CF">
        <w:rPr>
          <w:rFonts w:cs="Arial"/>
          <w:szCs w:val="20"/>
        </w:rPr>
        <w:t>Au moment de l’achèvement du logo et de son impression, le créateur en est le propriétaire.</w:t>
      </w:r>
    </w:p>
    <w:p w14:paraId="0693B6DF" w14:textId="77777777" w:rsidR="00EF78CF" w:rsidRPr="00EF78CF" w:rsidRDefault="00EF78CF" w:rsidP="00EF78CF">
      <w:pPr>
        <w:pStyle w:val="Sansinterligne"/>
        <w:shd w:val="clear" w:color="auto" w:fill="FFFFFF"/>
        <w:jc w:val="both"/>
        <w:rPr>
          <w:rFonts w:cs="Arial"/>
          <w:szCs w:val="20"/>
        </w:rPr>
      </w:pPr>
      <w:r w:rsidRPr="00EF78CF">
        <w:rPr>
          <w:rFonts w:cs="Arial"/>
          <w:szCs w:val="20"/>
        </w:rPr>
        <w:t>A noter qu’il en était déjà propriétaire pendant sa création.</w:t>
      </w:r>
    </w:p>
    <w:p w14:paraId="0693B6E0" w14:textId="77777777" w:rsidR="00EF78CF" w:rsidRPr="00EF78CF" w:rsidRDefault="00EF78CF" w:rsidP="00EF78CF">
      <w:pPr>
        <w:pStyle w:val="Sansinterligne"/>
        <w:shd w:val="clear" w:color="auto" w:fill="FFFFFF"/>
        <w:jc w:val="both"/>
        <w:rPr>
          <w:rFonts w:cs="Arial"/>
          <w:szCs w:val="20"/>
        </w:rPr>
      </w:pPr>
      <w:r w:rsidRPr="00EF78CF">
        <w:rPr>
          <w:rFonts w:cs="Arial"/>
          <w:szCs w:val="20"/>
        </w:rPr>
        <w:t xml:space="preserve">L’image terminée, imprimée ou même gravée sur cd, rentre dans le cadre du droit des biens </w:t>
      </w:r>
      <w:r w:rsidRPr="00EF78CF">
        <w:rPr>
          <w:rFonts w:cs="Arial"/>
          <w:b/>
          <w:szCs w:val="20"/>
          <w:u w:val="single"/>
        </w:rPr>
        <w:t>et</w:t>
      </w:r>
      <w:r w:rsidRPr="00EF78CF">
        <w:rPr>
          <w:rFonts w:cs="Arial"/>
          <w:szCs w:val="20"/>
        </w:rPr>
        <w:t xml:space="preserve"> du droit de propriété intellectuelle.</w:t>
      </w:r>
    </w:p>
    <w:p w14:paraId="0693B6E1" w14:textId="77777777" w:rsidR="00EF78CF" w:rsidRPr="00EF78CF" w:rsidRDefault="00EF78CF" w:rsidP="00EF78CF">
      <w:pPr>
        <w:pStyle w:val="Sansinterligne"/>
        <w:shd w:val="clear" w:color="auto" w:fill="FFFFFF"/>
        <w:jc w:val="both"/>
        <w:rPr>
          <w:rFonts w:cs="Arial"/>
          <w:szCs w:val="20"/>
        </w:rPr>
      </w:pPr>
      <w:r w:rsidRPr="00EF78CF">
        <w:rPr>
          <w:rFonts w:cs="Arial"/>
          <w:szCs w:val="20"/>
        </w:rPr>
        <w:t>L’objet, donc la page imprimée ou le cd gravé avec l’image, rentre dans le droit des biens.</w:t>
      </w:r>
    </w:p>
    <w:p w14:paraId="0693B6E2" w14:textId="77777777" w:rsidR="00EF78CF" w:rsidRPr="00EF78CF" w:rsidRDefault="00EF78CF" w:rsidP="00EF78CF">
      <w:pPr>
        <w:pStyle w:val="Sansinterligne"/>
        <w:shd w:val="clear" w:color="auto" w:fill="FFFFFF"/>
        <w:jc w:val="both"/>
        <w:rPr>
          <w:rFonts w:cs="Arial"/>
          <w:szCs w:val="20"/>
        </w:rPr>
      </w:pPr>
      <w:r w:rsidRPr="00EF78CF">
        <w:rPr>
          <w:rFonts w:cs="Arial"/>
          <w:szCs w:val="20"/>
        </w:rPr>
        <w:t>L’idée, le concept, rentrera donc en le cadre des droits suivants aussi, outre le droit de propriété intellectuelle.</w:t>
      </w:r>
    </w:p>
    <w:p w14:paraId="0693B6E3" w14:textId="77777777" w:rsidR="00EF78CF" w:rsidRPr="00EF78CF" w:rsidRDefault="00EF78CF" w:rsidP="00EF78CF">
      <w:pPr>
        <w:pStyle w:val="Sansinterligne"/>
        <w:shd w:val="clear" w:color="auto" w:fill="FFFFFF"/>
        <w:jc w:val="both"/>
        <w:rPr>
          <w:rFonts w:cs="Arial"/>
          <w:szCs w:val="20"/>
        </w:rPr>
      </w:pPr>
    </w:p>
    <w:p w14:paraId="0693B6E4" w14:textId="77777777" w:rsidR="00EF78CF" w:rsidRPr="00EF78CF" w:rsidRDefault="00FB0892" w:rsidP="00EF78CF">
      <w:pPr>
        <w:pStyle w:val="Sansinterligne"/>
        <w:shd w:val="clear" w:color="auto" w:fill="FFFFFF"/>
        <w:ind w:left="720" w:firstLine="720"/>
        <w:jc w:val="both"/>
        <w:rPr>
          <w:rFonts w:cs="Arial"/>
          <w:szCs w:val="20"/>
        </w:rPr>
      </w:pPr>
      <w:r>
        <w:rPr>
          <w:noProof/>
          <w:szCs w:val="20"/>
          <w:lang w:val="fr-BE" w:eastAsia="fr-BE"/>
        </w:rPr>
        <mc:AlternateContent>
          <mc:Choice Requires="wps">
            <w:drawing>
              <wp:anchor distT="0" distB="0" distL="114300" distR="114300" simplePos="0" relativeHeight="251653632" behindDoc="0" locked="0" layoutInCell="1" allowOverlap="1" wp14:anchorId="0693BAE6" wp14:editId="0693BAE7">
                <wp:simplePos x="0" y="0"/>
                <wp:positionH relativeFrom="column">
                  <wp:posOffset>333375</wp:posOffset>
                </wp:positionH>
                <wp:positionV relativeFrom="paragraph">
                  <wp:posOffset>40640</wp:posOffset>
                </wp:positionV>
                <wp:extent cx="523875" cy="85725"/>
                <wp:effectExtent l="9525" t="12065" r="28575" b="6985"/>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85725"/>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799A13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26" type="#_x0000_t13" style="position:absolute;margin-left:26.25pt;margin-top:3.2pt;width:41.25pt;height: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"/>
            </w:pict>
          </mc:Fallback>
        </mc:AlternateContent>
      </w:r>
      <w:r w:rsidR="00EF78CF" w:rsidRPr="00EF78CF">
        <w:rPr>
          <w:rFonts w:cs="Arial"/>
          <w:szCs w:val="20"/>
        </w:rPr>
        <w:t xml:space="preserve">Droit positif </w:t>
      </w:r>
    </w:p>
    <w:p w14:paraId="0693B6E5" w14:textId="77777777" w:rsidR="00EF78CF" w:rsidRPr="00EF78CF" w:rsidRDefault="00FB0892" w:rsidP="00EF78CF">
      <w:pPr>
        <w:pStyle w:val="Sansinterligne"/>
        <w:shd w:val="clear" w:color="auto" w:fill="FFFFFF"/>
        <w:ind w:left="720" w:firstLine="720"/>
        <w:jc w:val="both"/>
        <w:rPr>
          <w:rFonts w:cs="Arial"/>
          <w:szCs w:val="20"/>
        </w:rPr>
      </w:pPr>
      <w:r>
        <w:rPr>
          <w:noProof/>
          <w:szCs w:val="20"/>
          <w:lang w:val="fr-BE" w:eastAsia="fr-BE"/>
        </w:rPr>
        <mc:AlternateContent>
          <mc:Choice Requires="wps">
            <w:drawing>
              <wp:anchor distT="0" distB="0" distL="114300" distR="114300" simplePos="0" relativeHeight="251655680" behindDoc="0" locked="0" layoutInCell="1" allowOverlap="1" wp14:anchorId="0693BAE8" wp14:editId="0693BAE9">
                <wp:simplePos x="0" y="0"/>
                <wp:positionH relativeFrom="column">
                  <wp:posOffset>333375</wp:posOffset>
                </wp:positionH>
                <wp:positionV relativeFrom="paragraph">
                  <wp:posOffset>17780</wp:posOffset>
                </wp:positionV>
                <wp:extent cx="523875" cy="85725"/>
                <wp:effectExtent l="9525" t="17780" r="28575" b="10795"/>
                <wp:wrapNone/>
                <wp:docPr id="2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85725"/>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1CFA635" id="AutoShape 69" o:spid="_x0000_s1026" type="#_x0000_t13" style="position:absolute;margin-left:26.25pt;margin-top:1.4pt;width:41.25pt;height: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"/>
            </w:pict>
          </mc:Fallback>
        </mc:AlternateContent>
      </w:r>
      <w:r w:rsidR="00EF78CF" w:rsidRPr="00EF78CF">
        <w:rPr>
          <w:rFonts w:cs="Arial"/>
          <w:szCs w:val="20"/>
        </w:rPr>
        <w:t>Droit patrimonial.</w:t>
      </w:r>
    </w:p>
    <w:p w14:paraId="0693B6E6" w14:textId="77777777" w:rsidR="00EF78CF" w:rsidRPr="00EF78CF" w:rsidRDefault="00FB0892" w:rsidP="00EF78CF">
      <w:pPr>
        <w:pStyle w:val="Sansinterligne"/>
        <w:shd w:val="clear" w:color="auto" w:fill="FFFFFF"/>
        <w:ind w:left="720" w:firstLine="720"/>
        <w:jc w:val="both"/>
        <w:rPr>
          <w:rFonts w:cs="Arial"/>
          <w:szCs w:val="20"/>
        </w:rPr>
      </w:pPr>
      <w:r>
        <w:rPr>
          <w:noProof/>
          <w:szCs w:val="20"/>
          <w:lang w:val="fr-BE" w:eastAsia="fr-BE"/>
        </w:rPr>
        <mc:AlternateContent>
          <mc:Choice Requires="wps">
            <w:drawing>
              <wp:anchor distT="0" distB="0" distL="114300" distR="114300" simplePos="0" relativeHeight="251659776" behindDoc="0" locked="0" layoutInCell="1" allowOverlap="1" wp14:anchorId="0693BAEA" wp14:editId="0693BAEB">
                <wp:simplePos x="0" y="0"/>
                <wp:positionH relativeFrom="column">
                  <wp:posOffset>333375</wp:posOffset>
                </wp:positionH>
                <wp:positionV relativeFrom="paragraph">
                  <wp:posOffset>23495</wp:posOffset>
                </wp:positionV>
                <wp:extent cx="523875" cy="85725"/>
                <wp:effectExtent l="9525" t="13970" r="28575" b="508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85725"/>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5CB6349" id="AutoShape 70" o:spid="_x0000_s1026" type="#_x0000_t13" style="position:absolute;margin-left:26.25pt;margin-top:1.85pt;width:41.2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"/>
            </w:pict>
          </mc:Fallback>
        </mc:AlternateContent>
      </w:r>
      <w:r w:rsidR="00EF78CF" w:rsidRPr="00EF78CF">
        <w:rPr>
          <w:rFonts w:cs="Arial"/>
          <w:szCs w:val="20"/>
        </w:rPr>
        <w:t xml:space="preserve">C’est un actif. </w:t>
      </w:r>
    </w:p>
    <w:p w14:paraId="0693B6E7" w14:textId="77777777" w:rsidR="00EF78CF" w:rsidRPr="00EF78CF" w:rsidRDefault="00FB0892" w:rsidP="00EF78CF">
      <w:pPr>
        <w:pStyle w:val="Sansinterligne"/>
        <w:shd w:val="clear" w:color="auto" w:fill="FFFFFF"/>
        <w:ind w:left="720" w:firstLine="720"/>
        <w:jc w:val="both"/>
        <w:rPr>
          <w:rFonts w:cs="Arial"/>
          <w:szCs w:val="20"/>
        </w:rPr>
      </w:pPr>
      <w:r>
        <w:rPr>
          <w:noProof/>
          <w:szCs w:val="20"/>
          <w:lang w:val="fr-BE" w:eastAsia="fr-BE"/>
        </w:rPr>
        <mc:AlternateContent>
          <mc:Choice Requires="wps">
            <w:drawing>
              <wp:anchor distT="0" distB="0" distL="114300" distR="114300" simplePos="0" relativeHeight="251662848" behindDoc="0" locked="0" layoutInCell="1" allowOverlap="1" wp14:anchorId="0693BAEC" wp14:editId="0693BAED">
                <wp:simplePos x="0" y="0"/>
                <wp:positionH relativeFrom="column">
                  <wp:posOffset>333375</wp:posOffset>
                </wp:positionH>
                <wp:positionV relativeFrom="paragraph">
                  <wp:posOffset>57785</wp:posOffset>
                </wp:positionV>
                <wp:extent cx="523875" cy="85725"/>
                <wp:effectExtent l="9525" t="19685" r="28575" b="8890"/>
                <wp:wrapNone/>
                <wp:docPr id="2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85725"/>
                        </a:xfrm>
                        <a:prstGeom prst="rightArrow">
                          <a:avLst>
                            <a:gd name="adj1" fmla="val 50000"/>
                            <a:gd name="adj2" fmla="val 152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D470D66" id="AutoShape 71" o:spid="_x0000_s1026" type="#_x0000_t13" style="position:absolute;margin-left:26.25pt;margin-top:4.55pt;width:41.25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"/>
            </w:pict>
          </mc:Fallback>
        </mc:AlternateContent>
      </w:r>
      <w:r w:rsidR="00EF78CF" w:rsidRPr="00EF78CF">
        <w:rPr>
          <w:rFonts w:cs="Arial"/>
          <w:szCs w:val="20"/>
        </w:rPr>
        <w:t>Droit réel.</w:t>
      </w:r>
    </w:p>
    <w:p w14:paraId="0693B6E8" w14:textId="77777777" w:rsidR="00EF78CF" w:rsidRPr="00EF78CF" w:rsidRDefault="00EF78CF" w:rsidP="00EF78CF">
      <w:pPr>
        <w:pStyle w:val="Sansinterligne"/>
        <w:shd w:val="clear" w:color="auto" w:fill="FFFFFF"/>
        <w:jc w:val="both"/>
        <w:rPr>
          <w:rFonts w:cs="Arial"/>
          <w:szCs w:val="20"/>
        </w:rPr>
      </w:pPr>
    </w:p>
    <w:p w14:paraId="0693B6E9" w14:textId="77777777" w:rsidR="00EF78CF" w:rsidRPr="00EF78CF" w:rsidRDefault="00EF78CF" w:rsidP="00EF78CF">
      <w:pPr>
        <w:pStyle w:val="Sansinterligne"/>
        <w:shd w:val="clear" w:color="auto" w:fill="FFFFFF"/>
        <w:jc w:val="both"/>
        <w:rPr>
          <w:rFonts w:cs="Arial"/>
          <w:szCs w:val="20"/>
        </w:rPr>
      </w:pPr>
      <w:r w:rsidRPr="00EF78CF">
        <w:rPr>
          <w:rFonts w:cs="Arial"/>
          <w:szCs w:val="20"/>
        </w:rPr>
        <w:t>La page imprimée, tout comme le cd gravé, l’affiche ou quel que soit le support, sont aussi un bien vendable « de facto », un bien sur lequel le créateur à un droit réel, concret.</w:t>
      </w:r>
    </w:p>
    <w:p w14:paraId="0693B6EA" w14:textId="77777777" w:rsidR="00EF78CF" w:rsidRPr="00EF78CF" w:rsidRDefault="00EF78CF" w:rsidP="00EF78CF">
      <w:pPr>
        <w:pStyle w:val="Sansinterligne"/>
        <w:shd w:val="clear" w:color="auto" w:fill="FFFFFF"/>
        <w:jc w:val="both"/>
        <w:rPr>
          <w:rFonts w:cs="Arial"/>
          <w:szCs w:val="20"/>
        </w:rPr>
      </w:pPr>
      <w:r w:rsidRPr="00EF78CF">
        <w:rPr>
          <w:rFonts w:cs="Arial"/>
          <w:szCs w:val="20"/>
        </w:rPr>
        <w:t>Et de poursuivre avec la propriété intellectuelle et son droit propre.</w:t>
      </w:r>
    </w:p>
    <w:p w14:paraId="0693B6EB" w14:textId="34F7B299" w:rsidR="00EF78CF" w:rsidRPr="00EF78CF" w:rsidRDefault="00EF78CF" w:rsidP="00EF78CF">
      <w:pPr>
        <w:pStyle w:val="Sansinterligne"/>
        <w:shd w:val="clear" w:color="auto" w:fill="FFFFFF"/>
        <w:jc w:val="both"/>
        <w:rPr>
          <w:rFonts w:cs="Arial"/>
          <w:szCs w:val="20"/>
        </w:rPr>
      </w:pPr>
      <w:r w:rsidRPr="00EF78CF">
        <w:rPr>
          <w:rFonts w:cs="Arial"/>
          <w:szCs w:val="20"/>
        </w:rPr>
        <w:t xml:space="preserve">Tous ces </w:t>
      </w:r>
      <w:r w:rsidR="00174C85" w:rsidRPr="00EF78CF">
        <w:rPr>
          <w:rFonts w:cs="Arial"/>
          <w:szCs w:val="20"/>
        </w:rPr>
        <w:t>droits sont liés</w:t>
      </w:r>
      <w:r w:rsidRPr="00EF78CF">
        <w:rPr>
          <w:rFonts w:cs="Arial"/>
          <w:szCs w:val="20"/>
        </w:rPr>
        <w:t xml:space="preserve"> par le logo,  l’image par exemple  sur la </w:t>
      </w:r>
    </w:p>
    <w:p w14:paraId="0693B6EC" w14:textId="77777777" w:rsidR="00EF78CF" w:rsidRPr="00EF78CF" w:rsidRDefault="00EF78CF" w:rsidP="00EF78CF">
      <w:pPr>
        <w:pStyle w:val="Sansinterligne"/>
        <w:shd w:val="clear" w:color="auto" w:fill="FFFFFF"/>
        <w:jc w:val="both"/>
        <w:rPr>
          <w:rFonts w:cs="Arial"/>
          <w:szCs w:val="20"/>
        </w:rPr>
      </w:pPr>
      <w:r w:rsidRPr="00EF78CF">
        <w:rPr>
          <w:rFonts w:cs="Arial"/>
          <w:szCs w:val="20"/>
        </w:rPr>
        <w:t>Feuille, sur un T-shirt, le support, la marque.</w:t>
      </w:r>
    </w:p>
    <w:p w14:paraId="0693B6ED" w14:textId="77777777" w:rsidR="00EF78CF" w:rsidRPr="00EF78CF" w:rsidRDefault="00EF78CF" w:rsidP="00EF78CF">
      <w:pPr>
        <w:pStyle w:val="Sansinterligne"/>
        <w:shd w:val="clear" w:color="auto" w:fill="FFFFFF"/>
        <w:jc w:val="both"/>
        <w:rPr>
          <w:rFonts w:cs="Arial"/>
          <w:szCs w:val="20"/>
        </w:rPr>
      </w:pPr>
      <w:r w:rsidRPr="00EF78CF">
        <w:rPr>
          <w:rFonts w:cs="Arial"/>
          <w:szCs w:val="20"/>
        </w:rPr>
        <w:t>C’est un tout.</w:t>
      </w:r>
    </w:p>
    <w:p w14:paraId="0693B6EE" w14:textId="77777777" w:rsidR="00EF78CF" w:rsidRDefault="00EF78CF" w:rsidP="00EF78CF">
      <w:pPr>
        <w:pStyle w:val="Sansinterligne"/>
        <w:shd w:val="clear" w:color="auto" w:fill="FFFFFF"/>
        <w:jc w:val="both"/>
        <w:rPr>
          <w:rFonts w:ascii="Arial" w:hAnsi="Arial" w:cs="Arial"/>
          <w:i/>
          <w:sz w:val="24"/>
        </w:rPr>
      </w:pPr>
    </w:p>
    <w:p w14:paraId="0693B6EF" w14:textId="77777777" w:rsidR="00EF78CF" w:rsidRDefault="00FB0892" w:rsidP="00EF78CF">
      <w:pPr>
        <w:pStyle w:val="Sansinterligne"/>
        <w:shd w:val="clear" w:color="auto" w:fill="FFFFFF"/>
        <w:jc w:val="both"/>
        <w:rPr>
          <w:rFonts w:ascii="Arial" w:hAnsi="Arial" w:cs="Arial"/>
          <w:i/>
          <w:sz w:val="24"/>
        </w:rPr>
      </w:pPr>
      <w:r>
        <w:rPr>
          <w:rFonts w:ascii="Calibri" w:hAnsi="Calibri"/>
          <w:noProof/>
          <w:sz w:val="22"/>
          <w:szCs w:val="22"/>
          <w:lang w:val="fr-BE" w:eastAsia="fr-BE"/>
        </w:rPr>
        <mc:AlternateContent>
          <mc:Choice Requires="wps">
            <w:drawing>
              <wp:anchor distT="0" distB="0" distL="114300" distR="114300" simplePos="0" relativeHeight="251665920" behindDoc="0" locked="0" layoutInCell="1" allowOverlap="1" wp14:anchorId="0693BAEE" wp14:editId="0693BAEF">
                <wp:simplePos x="0" y="0"/>
                <wp:positionH relativeFrom="column">
                  <wp:posOffset>771525</wp:posOffset>
                </wp:positionH>
                <wp:positionV relativeFrom="paragraph">
                  <wp:posOffset>20955</wp:posOffset>
                </wp:positionV>
                <wp:extent cx="3507105" cy="1516380"/>
                <wp:effectExtent l="9525" t="11430" r="7620" b="5715"/>
                <wp:wrapNone/>
                <wp:docPr id="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516380"/>
                        </a:xfrm>
                        <a:prstGeom prst="rect">
                          <a:avLst/>
                        </a:prstGeom>
                        <a:solidFill>
                          <a:srgbClr val="FFFFFF"/>
                        </a:solidFill>
                        <a:ln w="9525">
                          <a:solidFill>
                            <a:srgbClr val="000000"/>
                          </a:solidFill>
                          <a:miter lim="800000"/>
                          <a:headEnd/>
                          <a:tailEnd/>
                        </a:ln>
                      </wps:spPr>
                      <wps:txbx>
                        <w:txbxContent>
                          <w:p w14:paraId="0693BB5B" w14:textId="77777777" w:rsidR="00105A84" w:rsidRPr="00EF78CF" w:rsidRDefault="00105A84" w:rsidP="001C756E">
                            <w:r w:rsidRPr="00EF78CF">
                              <w:t>Des droits sur le support de l’œuvre ?</w:t>
                            </w:r>
                          </w:p>
                          <w:p w14:paraId="0693BB5C" w14:textId="77777777" w:rsidR="00105A84" w:rsidRPr="00EF78CF" w:rsidRDefault="00105A84" w:rsidP="00EF78CF">
                            <w:pPr>
                              <w:shd w:val="clear" w:color="auto" w:fill="DDD9C3"/>
                              <w:spacing w:before="100" w:beforeAutospacing="1" w:after="100" w:afterAutospacing="1"/>
                              <w:jc w:val="both"/>
                              <w:rPr>
                                <w:rFonts w:cs="Arial"/>
                                <w:i/>
                                <w:szCs w:val="20"/>
                              </w:rPr>
                            </w:pPr>
                            <w:r w:rsidRPr="00EF78CF">
                              <w:rPr>
                                <w:rFonts w:cs="Arial"/>
                                <w:i/>
                                <w:szCs w:val="20"/>
                              </w:rPr>
                              <w:t>Le droit d’auteur a pour objet une œuvre littéraire ou artistique immatérielle qui doit être distinguée de son support matériel (un CD, un livre, une clé USB, etc.). L’acquéreur d’un objet matériel qui incorpore une œuvre n’a donc pas forcément les droits d’auteur sur cette œuvre et ne peut donc l’utiliser d’une manière qui porterait atteinte à ces droits.</w:t>
                            </w:r>
                          </w:p>
                          <w:p w14:paraId="0693BB5D" w14:textId="77777777" w:rsidR="00105A84" w:rsidRDefault="00105A84" w:rsidP="00EF78CF">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0" type="#_x0000_t202" style="position:absolute;left:0;text-align:left;margin-left:60.75pt;margin-top:1.65pt;width:276.15pt;height:1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">
                <v:textbox>
                  <w:txbxContent>
                    <w:p w14:paraId="0693BB5B" w14:textId="77777777" w:rsidR="00105A84" w:rsidRPr="00EF78CF" w:rsidRDefault="00105A84" w:rsidP="001C756E">
                      <w:r w:rsidRPr="00EF78CF">
                        <w:t>Des droits sur le support de l’œuvre ?</w:t>
                      </w:r>
                    </w:p>
                    <w:p w14:paraId="0693BB5C" w14:textId="77777777" w:rsidR="00105A84" w:rsidRPr="00EF78CF" w:rsidRDefault="00105A84" w:rsidP="00EF78CF">
                      <w:pPr>
                        <w:shd w:val="clear" w:color="auto" w:fill="DDD9C3"/>
                        <w:spacing w:before="100" w:beforeAutospacing="1" w:after="100" w:afterAutospacing="1"/>
                        <w:jc w:val="both"/>
                        <w:rPr>
                          <w:rFonts w:cs="Arial"/>
                          <w:i/>
                          <w:szCs w:val="20"/>
                        </w:rPr>
                      </w:pPr>
                      <w:r w:rsidRPr="00EF78CF">
                        <w:rPr>
                          <w:rFonts w:cs="Arial"/>
                          <w:i/>
                          <w:szCs w:val="20"/>
                        </w:rPr>
                        <w:t>Le droit d’auteur a pour objet une œuvre littéraire ou artistique immatérielle qui doit être distinguée de son support matériel (un CD, un livre, une clé USB, etc.). L’acquéreur d’un objet matériel qui incorpore une œuvre n’a donc pas forcément les droits d’auteur sur cette œuvre et ne peut donc l’utiliser d’une manière qui porterait atteinte à ces droits.</w:t>
                      </w:r>
                    </w:p>
                    <w:p w14:paraId="0693BB5D" w14:textId="77777777" w:rsidR="00105A84" w:rsidRDefault="00105A84" w:rsidP="00EF78CF">
                      <w:pPr>
                        <w:rPr>
                          <w:rFonts w:ascii="Calibri" w:hAnsi="Calibri"/>
                          <w:sz w:val="22"/>
                          <w:szCs w:val="22"/>
                        </w:rPr>
                      </w:pPr>
                    </w:p>
                  </w:txbxContent>
                </v:textbox>
              </v:shape>
            </w:pict>
          </mc:Fallback>
        </mc:AlternateContent>
      </w:r>
    </w:p>
    <w:p w14:paraId="0693B6F0" w14:textId="77777777" w:rsidR="00EF78CF" w:rsidRDefault="00EF78CF" w:rsidP="00EF78CF">
      <w:pPr>
        <w:pStyle w:val="Sansinterligne"/>
        <w:shd w:val="clear" w:color="auto" w:fill="FFFFFF"/>
        <w:jc w:val="both"/>
        <w:rPr>
          <w:rFonts w:ascii="Arial" w:hAnsi="Arial" w:cs="Arial"/>
          <w:i/>
          <w:sz w:val="24"/>
        </w:rPr>
      </w:pPr>
    </w:p>
    <w:p w14:paraId="0693B6F1" w14:textId="77777777" w:rsidR="00EF78CF" w:rsidRDefault="00EF78CF" w:rsidP="00EF78CF">
      <w:pPr>
        <w:pStyle w:val="Sansinterligne"/>
        <w:shd w:val="clear" w:color="auto" w:fill="FFFFFF"/>
        <w:jc w:val="both"/>
        <w:rPr>
          <w:rFonts w:ascii="Arial" w:hAnsi="Arial" w:cs="Arial"/>
          <w:i/>
          <w:sz w:val="24"/>
        </w:rPr>
      </w:pPr>
    </w:p>
    <w:p w14:paraId="0693B6F2" w14:textId="77777777" w:rsidR="00EF78CF" w:rsidRDefault="00EF78CF" w:rsidP="00EF78CF">
      <w:pPr>
        <w:pStyle w:val="Sansinterligne"/>
        <w:shd w:val="clear" w:color="auto" w:fill="FFFFFF"/>
        <w:jc w:val="both"/>
        <w:rPr>
          <w:rFonts w:ascii="Arial" w:hAnsi="Arial" w:cs="Arial"/>
          <w:i/>
          <w:sz w:val="24"/>
        </w:rPr>
      </w:pPr>
    </w:p>
    <w:p w14:paraId="0693B6F3" w14:textId="77777777" w:rsidR="00EF78CF" w:rsidRDefault="00EF78CF" w:rsidP="00EF78CF">
      <w:pPr>
        <w:pStyle w:val="Sansinterligne"/>
        <w:shd w:val="clear" w:color="auto" w:fill="FFFFFF"/>
        <w:jc w:val="both"/>
        <w:rPr>
          <w:rFonts w:ascii="Arial" w:hAnsi="Arial" w:cs="Arial"/>
          <w:i/>
          <w:sz w:val="24"/>
        </w:rPr>
      </w:pPr>
    </w:p>
    <w:p w14:paraId="0693B6F4" w14:textId="77777777" w:rsidR="00EF78CF" w:rsidRDefault="00EF78CF" w:rsidP="00EF78CF">
      <w:pPr>
        <w:pStyle w:val="Sansinterligne"/>
        <w:shd w:val="clear" w:color="auto" w:fill="FFFFFF"/>
        <w:jc w:val="both"/>
        <w:rPr>
          <w:rFonts w:ascii="Arial" w:hAnsi="Arial" w:cs="Arial"/>
          <w:i/>
          <w:sz w:val="24"/>
        </w:rPr>
      </w:pPr>
    </w:p>
    <w:p w14:paraId="0693B6F5" w14:textId="77777777" w:rsidR="00EF78CF" w:rsidRDefault="00EF78CF" w:rsidP="00EF78CF">
      <w:pPr>
        <w:pStyle w:val="Sansinterligne"/>
        <w:shd w:val="clear" w:color="auto" w:fill="FFFFFF"/>
        <w:jc w:val="both"/>
        <w:rPr>
          <w:rFonts w:ascii="Arial" w:hAnsi="Arial" w:cs="Arial"/>
          <w:i/>
          <w:sz w:val="24"/>
        </w:rPr>
      </w:pPr>
    </w:p>
    <w:p w14:paraId="0693B6F6" w14:textId="77777777" w:rsidR="00EF78CF" w:rsidRDefault="00EF78CF" w:rsidP="00EF78CF">
      <w:pPr>
        <w:pStyle w:val="Sansinterligne"/>
        <w:shd w:val="clear" w:color="auto" w:fill="FFFFFF"/>
        <w:jc w:val="both"/>
        <w:rPr>
          <w:rFonts w:ascii="Arial" w:hAnsi="Arial" w:cs="Arial"/>
          <w:i/>
          <w:sz w:val="24"/>
        </w:rPr>
      </w:pPr>
    </w:p>
    <w:p w14:paraId="0693B6F7" w14:textId="77777777" w:rsidR="00EF78CF" w:rsidRDefault="00EF78CF" w:rsidP="00EF78CF">
      <w:pPr>
        <w:pStyle w:val="Sansinterligne"/>
        <w:shd w:val="clear" w:color="auto" w:fill="FFFFFF"/>
        <w:jc w:val="both"/>
        <w:rPr>
          <w:rFonts w:ascii="Arial" w:hAnsi="Arial" w:cs="Arial"/>
          <w:i/>
          <w:sz w:val="24"/>
        </w:rPr>
      </w:pPr>
    </w:p>
    <w:p w14:paraId="0693B6F8" w14:textId="77777777" w:rsidR="00EF78CF" w:rsidRDefault="00EF78CF" w:rsidP="00EF78CF">
      <w:pPr>
        <w:pStyle w:val="Sansinterligne"/>
        <w:shd w:val="clear" w:color="auto" w:fill="FFFFFF"/>
        <w:jc w:val="both"/>
        <w:rPr>
          <w:rFonts w:ascii="Arial" w:hAnsi="Arial" w:cs="Arial"/>
          <w:i/>
          <w:sz w:val="24"/>
        </w:rPr>
      </w:pPr>
    </w:p>
    <w:p w14:paraId="0693B6F9" w14:textId="2B556083" w:rsidR="00EF78CF" w:rsidRDefault="00EF78CF" w:rsidP="00EF78CF">
      <w:r>
        <w:t xml:space="preserve">Source : </w:t>
      </w:r>
      <w:hyperlink r:id="rId113" w:history="1">
        <w:r w:rsidRPr="00174C85">
          <w:rPr>
            <w:rStyle w:val="Lienhypertexte"/>
            <w:sz w:val="16"/>
            <w:szCs w:val="16"/>
          </w:rPr>
          <w:t>http://economie.fgov.be/fr/entreprises/propriete_intellectuelle/droit_d_auteur/protection_oeuvres/la_protection</w:t>
        </w:r>
      </w:hyperlink>
    </w:p>
    <w:p w14:paraId="0693B6FA" w14:textId="77777777" w:rsidR="00EF78CF" w:rsidRPr="00EF78CF" w:rsidRDefault="00EF78CF" w:rsidP="00EF78CF">
      <w:pPr>
        <w:pStyle w:val="Titre4"/>
      </w:pPr>
      <w:r>
        <w:t>Exemple</w:t>
      </w:r>
    </w:p>
    <w:p w14:paraId="0693B6FB" w14:textId="77777777" w:rsidR="00EF78CF" w:rsidRDefault="00EF78CF" w:rsidP="00EF78CF">
      <w:pPr>
        <w:jc w:val="both"/>
      </w:pPr>
      <w:r w:rsidRPr="00EF78CF">
        <w:t>J’achète un CD d’Hooverphonic. L’œuvre est constituée des chansons enregistrées sur ce CD. Le support de l’œuvre est le CD.</w:t>
      </w:r>
    </w:p>
    <w:p w14:paraId="0693B6FC" w14:textId="77777777" w:rsidR="00EF78CF" w:rsidRPr="00EF78CF" w:rsidRDefault="00EF78CF" w:rsidP="00EF78CF">
      <w:pPr>
        <w:jc w:val="both"/>
      </w:pPr>
      <w:r w:rsidRPr="00EF78CF">
        <w:t>Mon droit de propriété sur le CD ne m’autorise pas à faire une utilisation de l’œuvre qui est soumise au droit d’auteur, telle que par exemple en faire des copies ou diffuser la chanson sur Internet.</w:t>
      </w:r>
    </w:p>
    <w:p w14:paraId="0693B6FD" w14:textId="77777777" w:rsidR="00EF78CF" w:rsidRPr="00EF78CF" w:rsidRDefault="00EF78CF" w:rsidP="00EF78CF">
      <w:pPr>
        <w:jc w:val="both"/>
      </w:pPr>
      <w:r w:rsidRPr="00EF78CF">
        <w:t>Le propriétaire d’un tableau de Magritte n’a aucun droit d’auteur sur l’œuvre. Il ne pourrait donc décider d’en faire par exemple des photos et de les distribuer, malgré qu’il soit propriétaire du tableau. Car à cette occasion, il ferait des copies de l’œuvre, acte soumis au droit d’auteur.</w:t>
      </w:r>
    </w:p>
    <w:p w14:paraId="0693B6FE" w14:textId="77777777" w:rsidR="00EF78CF" w:rsidRDefault="00EF78CF" w:rsidP="00EF78CF">
      <w:pPr>
        <w:pStyle w:val="Sansinterligne"/>
        <w:shd w:val="clear" w:color="auto" w:fill="FFFFFF"/>
        <w:jc w:val="both"/>
        <w:rPr>
          <w:rFonts w:ascii="Arial" w:hAnsi="Arial" w:cs="Arial"/>
          <w:i/>
          <w:sz w:val="24"/>
        </w:rPr>
      </w:pPr>
    </w:p>
    <w:p w14:paraId="0693B6FF" w14:textId="77777777" w:rsidR="00EF78CF" w:rsidRDefault="00EF78CF" w:rsidP="00EF78CF">
      <w:pPr>
        <w:pStyle w:val="Sansinterligne"/>
        <w:shd w:val="clear" w:color="auto" w:fill="FFFFFF"/>
        <w:jc w:val="both"/>
      </w:pPr>
      <w:r w:rsidRPr="00EF78CF">
        <w:t>Source :</w:t>
      </w:r>
    </w:p>
    <w:p w14:paraId="0693B700" w14:textId="01A43E22" w:rsidR="00EF78CF" w:rsidRPr="00EF78CF" w:rsidRDefault="00105A84" w:rsidP="00EF78CF">
      <w:pPr>
        <w:rPr>
          <w:sz w:val="16"/>
          <w:szCs w:val="16"/>
        </w:rPr>
      </w:pPr>
      <w:hyperlink r:id="rId114" w:history="1">
        <w:r w:rsidR="00EF78CF" w:rsidRPr="00174C85">
          <w:rPr>
            <w:rStyle w:val="Lienhypertexte"/>
            <w:sz w:val="16"/>
            <w:szCs w:val="16"/>
          </w:rPr>
          <w:t>http://economie.fgov.be/fr/entreprises/propriete_intellectuelle/droit_d_auteur/protection_oeuvres/la_protection</w:t>
        </w:r>
      </w:hyperlink>
    </w:p>
    <w:p w14:paraId="0693B701" w14:textId="77777777" w:rsidR="00EF78CF" w:rsidRDefault="00EF78CF" w:rsidP="00EF78CF">
      <w:pPr>
        <w:pStyle w:val="Sansinterligne"/>
        <w:shd w:val="clear" w:color="auto" w:fill="FFFFFF"/>
        <w:jc w:val="both"/>
        <w:rPr>
          <w:rFonts w:ascii="Arial" w:hAnsi="Arial" w:cs="Arial"/>
          <w:i/>
          <w:sz w:val="24"/>
        </w:rPr>
      </w:pPr>
    </w:p>
    <w:p w14:paraId="0693B702" w14:textId="77777777" w:rsidR="00EF78CF" w:rsidRDefault="00EF78CF" w:rsidP="00EF78CF">
      <w:pPr>
        <w:pStyle w:val="Titre3"/>
      </w:pPr>
      <w:bookmarkStart w:id="297" w:name="_Toc482815636"/>
      <w:r>
        <w:t>La propriété intellectuelle et son droit</w:t>
      </w:r>
      <w:bookmarkEnd w:id="297"/>
    </w:p>
    <w:p w14:paraId="0693B703" w14:textId="77777777" w:rsidR="00EF78CF" w:rsidRPr="00EF78CF" w:rsidRDefault="00EF78CF" w:rsidP="00EF78CF">
      <w:pPr>
        <w:pStyle w:val="Sansinterligne"/>
        <w:shd w:val="clear" w:color="auto" w:fill="FFFFFF"/>
        <w:jc w:val="both"/>
        <w:rPr>
          <w:rFonts w:cs="Arial"/>
          <w:szCs w:val="20"/>
        </w:rPr>
      </w:pPr>
      <w:r w:rsidRPr="00EF78CF">
        <w:rPr>
          <w:rFonts w:cs="Arial"/>
          <w:szCs w:val="20"/>
        </w:rPr>
        <w:t>En Belgique, la propriété intellectuelle et le droit de l’auteur, du créateur de la dite propriété, est protég</w:t>
      </w:r>
      <w:r>
        <w:rPr>
          <w:rFonts w:cs="Arial"/>
          <w:szCs w:val="20"/>
        </w:rPr>
        <w:t>ée par l « OPRI » entre-autres.</w:t>
      </w:r>
    </w:p>
    <w:p w14:paraId="0693B704" w14:textId="77777777" w:rsidR="00EF78CF" w:rsidRPr="00EF78CF" w:rsidRDefault="00EF78CF" w:rsidP="00EF78CF">
      <w:pPr>
        <w:pStyle w:val="Sansinterligne"/>
        <w:shd w:val="clear" w:color="auto" w:fill="FFFFFF"/>
        <w:jc w:val="both"/>
        <w:rPr>
          <w:rFonts w:cs="Arial"/>
          <w:szCs w:val="20"/>
        </w:rPr>
      </w:pPr>
      <w:r w:rsidRPr="00EF78CF">
        <w:rPr>
          <w:rFonts w:cs="Arial"/>
          <w:szCs w:val="20"/>
        </w:rPr>
        <w:t>Nous pourrions aussi citer la « Sabam » mais allons cibler.</w:t>
      </w:r>
    </w:p>
    <w:p w14:paraId="0693B705" w14:textId="77777777" w:rsidR="00EF78CF" w:rsidRPr="00EF78CF" w:rsidRDefault="00EF78CF" w:rsidP="00EF78CF">
      <w:pPr>
        <w:pStyle w:val="Sansinterligne"/>
        <w:shd w:val="clear" w:color="auto" w:fill="FFFFFF"/>
        <w:jc w:val="both"/>
        <w:rPr>
          <w:rFonts w:cs="Arial"/>
          <w:szCs w:val="20"/>
        </w:rPr>
      </w:pPr>
      <w:r w:rsidRPr="00EF78CF">
        <w:rPr>
          <w:rFonts w:cs="Arial"/>
          <w:szCs w:val="20"/>
        </w:rPr>
        <w:t>En l’occurrence, l’OPRI est l’office belge de la protection intellectuelle.</w:t>
      </w:r>
    </w:p>
    <w:p w14:paraId="0693B706" w14:textId="77777777" w:rsidR="00EF78CF" w:rsidRPr="00EF78CF" w:rsidRDefault="00EF78CF" w:rsidP="00EF78CF">
      <w:pPr>
        <w:pStyle w:val="Sansinterligne"/>
        <w:shd w:val="clear" w:color="auto" w:fill="FFFFFF"/>
        <w:jc w:val="both"/>
        <w:rPr>
          <w:rFonts w:cs="Arial"/>
          <w:szCs w:val="20"/>
        </w:rPr>
      </w:pPr>
      <w:r w:rsidRPr="00EF78CF">
        <w:rPr>
          <w:rFonts w:cs="Arial"/>
          <w:szCs w:val="20"/>
        </w:rPr>
        <w:t>Cet office est très polyvalent objectivement.</w:t>
      </w:r>
    </w:p>
    <w:p w14:paraId="0693B707" w14:textId="1DAD8926" w:rsidR="00EF78CF" w:rsidRDefault="00EF78CF" w:rsidP="00EF78CF">
      <w:pPr>
        <w:pStyle w:val="Sansinterligne"/>
        <w:shd w:val="clear" w:color="auto" w:fill="FFFFFF"/>
        <w:jc w:val="both"/>
        <w:rPr>
          <w:rFonts w:cs="Arial"/>
          <w:szCs w:val="20"/>
        </w:rPr>
      </w:pPr>
      <w:r w:rsidRPr="00EF78CF">
        <w:rPr>
          <w:rFonts w:cs="Arial"/>
          <w:szCs w:val="20"/>
        </w:rPr>
        <w:t xml:space="preserve">Le bureau reçoit et enregistre les titres de propriété de </w:t>
      </w:r>
      <w:r w:rsidR="00174C85" w:rsidRPr="00EF78CF">
        <w:rPr>
          <w:rFonts w:cs="Arial"/>
          <w:szCs w:val="20"/>
        </w:rPr>
        <w:t>cet ordre</w:t>
      </w:r>
      <w:r w:rsidRPr="00EF78CF">
        <w:rPr>
          <w:rFonts w:cs="Arial"/>
          <w:szCs w:val="20"/>
        </w:rPr>
        <w:t>, il conseillera les gouvernements en consultance et conseille l’auteur, l’écrivain, le créateur de notre logo.</w:t>
      </w:r>
    </w:p>
    <w:p w14:paraId="0693B708" w14:textId="77777777" w:rsidR="00EF78CF" w:rsidRDefault="00EF78CF" w:rsidP="00EF78CF">
      <w:pPr>
        <w:pStyle w:val="Sansinterligne"/>
        <w:shd w:val="clear" w:color="auto" w:fill="FFFFFF"/>
        <w:jc w:val="both"/>
        <w:rPr>
          <w:rFonts w:cs="Arial"/>
          <w:szCs w:val="20"/>
        </w:rPr>
      </w:pPr>
    </w:p>
    <w:p w14:paraId="0693B709" w14:textId="77777777" w:rsidR="00EF78CF" w:rsidRPr="00EF78CF" w:rsidRDefault="00EF78CF" w:rsidP="00EF78CF">
      <w:pPr>
        <w:pBdr>
          <w:top w:val="single" w:sz="4" w:space="1" w:color="auto"/>
          <w:left w:val="single" w:sz="4" w:space="4" w:color="auto"/>
          <w:bottom w:val="single" w:sz="4" w:space="1" w:color="auto"/>
          <w:right w:val="single" w:sz="4" w:space="4" w:color="auto"/>
        </w:pBdr>
        <w:ind w:left="993" w:right="3541"/>
      </w:pPr>
      <w:r w:rsidRPr="00EF78CF">
        <w:t xml:space="preserve">Service Public Fédéral Economie, P.M.E., Classes moyennes et Energie </w:t>
      </w:r>
      <w:r w:rsidRPr="00EF78CF">
        <w:br/>
        <w:t xml:space="preserve">Office de la Propriété intellectuelle </w:t>
      </w:r>
      <w:r w:rsidRPr="00EF78CF">
        <w:br/>
      </w:r>
      <w:r w:rsidRPr="00EF78CF">
        <w:br/>
        <w:t xml:space="preserve">North gate III </w:t>
      </w:r>
      <w:r w:rsidRPr="00EF78CF">
        <w:br/>
        <w:t xml:space="preserve">Boulevard du Roi Albert II, 16 </w:t>
      </w:r>
      <w:r w:rsidRPr="00EF78CF">
        <w:br/>
        <w:t>1000 Bruxelles</w:t>
      </w:r>
    </w:p>
    <w:p w14:paraId="0693B70A" w14:textId="77777777" w:rsidR="00EF78CF" w:rsidRPr="00EF78CF" w:rsidRDefault="00EF78CF" w:rsidP="00EF78CF">
      <w:pPr>
        <w:pBdr>
          <w:top w:val="single" w:sz="4" w:space="1" w:color="auto"/>
          <w:left w:val="single" w:sz="4" w:space="4" w:color="auto"/>
          <w:bottom w:val="single" w:sz="4" w:space="1" w:color="auto"/>
          <w:right w:val="single" w:sz="4" w:space="4" w:color="auto"/>
        </w:pBdr>
        <w:ind w:left="993" w:right="3541"/>
      </w:pPr>
      <w:r w:rsidRPr="00EF78CF">
        <w:rPr>
          <w:rStyle w:val="lev"/>
          <w:rFonts w:cs="Arial"/>
          <w:i/>
          <w:szCs w:val="20"/>
        </w:rPr>
        <w:t>Tel:</w:t>
      </w:r>
    </w:p>
    <w:p w14:paraId="0693B70B" w14:textId="77777777" w:rsidR="00EF78CF" w:rsidRPr="00EF78CF" w:rsidRDefault="00EF78CF" w:rsidP="00EF78CF">
      <w:pPr>
        <w:pBdr>
          <w:top w:val="single" w:sz="4" w:space="1" w:color="auto"/>
          <w:left w:val="single" w:sz="4" w:space="4" w:color="auto"/>
          <w:bottom w:val="single" w:sz="4" w:space="1" w:color="auto"/>
          <w:right w:val="single" w:sz="4" w:space="4" w:color="auto"/>
        </w:pBdr>
        <w:ind w:left="993" w:right="3541"/>
      </w:pPr>
      <w:r w:rsidRPr="00EF78CF">
        <w:lastRenderedPageBreak/>
        <w:t xml:space="preserve">Propriété intellectuelle et l'OPRI: </w:t>
      </w:r>
      <w:r w:rsidRPr="00EF78CF">
        <w:br/>
        <w:t>+32 2 277 90 11</w:t>
      </w:r>
    </w:p>
    <w:p w14:paraId="0693B70C" w14:textId="77777777" w:rsidR="00EF78CF" w:rsidRPr="00EF78CF" w:rsidRDefault="00EF78CF" w:rsidP="00EF78CF">
      <w:pPr>
        <w:pBdr>
          <w:top w:val="single" w:sz="4" w:space="1" w:color="auto"/>
          <w:left w:val="single" w:sz="4" w:space="4" w:color="auto"/>
          <w:bottom w:val="single" w:sz="4" w:space="1" w:color="auto"/>
          <w:right w:val="single" w:sz="4" w:space="4" w:color="auto"/>
        </w:pBdr>
        <w:ind w:left="993" w:right="3541"/>
      </w:pPr>
      <w:r w:rsidRPr="00EF78CF">
        <w:t xml:space="preserve">Questions juridiques : </w:t>
      </w:r>
      <w:r w:rsidRPr="00EF78CF">
        <w:br/>
        <w:t>+32 2 277 52 88</w:t>
      </w:r>
    </w:p>
    <w:p w14:paraId="0693B70D" w14:textId="77777777" w:rsidR="00EF78CF" w:rsidRPr="00EF78CF" w:rsidRDefault="00EF78CF" w:rsidP="00EF78CF">
      <w:pPr>
        <w:pBdr>
          <w:top w:val="single" w:sz="4" w:space="1" w:color="auto"/>
          <w:left w:val="single" w:sz="4" w:space="4" w:color="auto"/>
          <w:bottom w:val="single" w:sz="4" w:space="1" w:color="auto"/>
          <w:right w:val="single" w:sz="4" w:space="4" w:color="auto"/>
        </w:pBdr>
        <w:ind w:left="993" w:right="3541"/>
      </w:pPr>
      <w:r w:rsidRPr="00EF78CF">
        <w:t xml:space="preserve">Certificats d'obtention végétale : </w:t>
      </w:r>
      <w:r w:rsidRPr="00EF78CF">
        <w:br/>
        <w:t>+32 2 277 82 75</w:t>
      </w:r>
    </w:p>
    <w:p w14:paraId="0693B70E" w14:textId="77777777" w:rsidR="00EF78CF" w:rsidRPr="00EF78CF" w:rsidRDefault="00EF78CF" w:rsidP="00EF78CF">
      <w:pPr>
        <w:pStyle w:val="Sansinterligne"/>
        <w:shd w:val="clear" w:color="auto" w:fill="FFFFFF"/>
        <w:jc w:val="both"/>
        <w:rPr>
          <w:rFonts w:cs="Arial"/>
          <w:szCs w:val="20"/>
        </w:rPr>
      </w:pPr>
    </w:p>
    <w:p w14:paraId="0693B70F" w14:textId="77777777" w:rsidR="00EF78CF" w:rsidRDefault="00EF78CF" w:rsidP="00EF78CF">
      <w:pPr>
        <w:pStyle w:val="Sansinterligne"/>
        <w:shd w:val="clear" w:color="auto" w:fill="FFFFFF"/>
        <w:jc w:val="both"/>
        <w:rPr>
          <w:rFonts w:cs="Arial"/>
          <w:szCs w:val="20"/>
        </w:rPr>
      </w:pPr>
    </w:p>
    <w:p w14:paraId="0693B710" w14:textId="77777777" w:rsidR="00EF78CF" w:rsidRPr="00EF78CF" w:rsidRDefault="00EF78CF" w:rsidP="00EF78CF">
      <w:pPr>
        <w:pStyle w:val="Sansinterligne"/>
        <w:shd w:val="clear" w:color="auto" w:fill="FFFFFF"/>
        <w:jc w:val="both"/>
        <w:rPr>
          <w:rFonts w:cs="Arial"/>
          <w:szCs w:val="20"/>
        </w:rPr>
      </w:pPr>
      <w:r w:rsidRPr="00EF78CF">
        <w:rPr>
          <w:rFonts w:cs="Arial"/>
          <w:szCs w:val="20"/>
        </w:rPr>
        <w:t>Une fois le logo présenté par l’auteur, le créateur, à ce bureau, même s’il en était déjà propriétaire à sa création et même pendant sa création, il est maintenant enregistré à l’office.</w:t>
      </w:r>
    </w:p>
    <w:p w14:paraId="0693B711" w14:textId="77777777" w:rsidR="00EF78CF" w:rsidRPr="00EF78CF" w:rsidRDefault="00EF78CF" w:rsidP="00EF78CF">
      <w:pPr>
        <w:pStyle w:val="Sansinterligne"/>
        <w:shd w:val="clear" w:color="auto" w:fill="FFFFFF"/>
        <w:jc w:val="both"/>
        <w:rPr>
          <w:rFonts w:cs="Arial"/>
          <w:szCs w:val="20"/>
        </w:rPr>
      </w:pPr>
      <w:r w:rsidRPr="00EF78CF">
        <w:rPr>
          <w:rFonts w:cs="Arial"/>
          <w:szCs w:val="20"/>
        </w:rPr>
        <w:t>L’on ne peut plus en user sans son accord.</w:t>
      </w:r>
    </w:p>
    <w:p w14:paraId="0693B712" w14:textId="032CAC1E" w:rsidR="00EF78CF" w:rsidRPr="00EF78CF" w:rsidRDefault="00EF78CF" w:rsidP="00EF78CF">
      <w:pPr>
        <w:pStyle w:val="Sansinterligne"/>
        <w:shd w:val="clear" w:color="auto" w:fill="FFFFFF"/>
        <w:jc w:val="both"/>
        <w:rPr>
          <w:rFonts w:cs="Arial"/>
          <w:szCs w:val="20"/>
        </w:rPr>
      </w:pPr>
      <w:r w:rsidRPr="00EF78CF">
        <w:rPr>
          <w:rFonts w:cs="Arial"/>
          <w:szCs w:val="20"/>
        </w:rPr>
        <w:t xml:space="preserve">L’on ne pouvait déjà en user ni pendant sa conception, ni à son </w:t>
      </w:r>
      <w:r w:rsidR="00174C85" w:rsidRPr="00EF78CF">
        <w:rPr>
          <w:rFonts w:cs="Arial"/>
          <w:szCs w:val="20"/>
        </w:rPr>
        <w:t>achèvement cependant, c’est</w:t>
      </w:r>
      <w:r w:rsidRPr="00EF78CF">
        <w:rPr>
          <w:rFonts w:cs="Arial"/>
          <w:szCs w:val="20"/>
        </w:rPr>
        <w:t xml:space="preserve"> </w:t>
      </w:r>
      <w:r w:rsidR="00D12868" w:rsidRPr="00EF78CF">
        <w:rPr>
          <w:rFonts w:cs="Arial"/>
          <w:szCs w:val="20"/>
        </w:rPr>
        <w:t>plus officiel</w:t>
      </w:r>
      <w:r w:rsidRPr="00EF78CF">
        <w:rPr>
          <w:rFonts w:cs="Arial"/>
          <w:szCs w:val="20"/>
        </w:rPr>
        <w:t xml:space="preserve">  et  plus  facilement</w:t>
      </w:r>
      <w:r>
        <w:rPr>
          <w:rFonts w:cs="Arial"/>
          <w:szCs w:val="20"/>
        </w:rPr>
        <w:t xml:space="preserve"> </w:t>
      </w:r>
      <w:r w:rsidRPr="00EF78CF">
        <w:rPr>
          <w:rFonts w:cs="Arial"/>
          <w:szCs w:val="20"/>
        </w:rPr>
        <w:t>défendable une fois enregistré (chez un notaire  aussi) par acte.</w:t>
      </w:r>
    </w:p>
    <w:p w14:paraId="0693B713" w14:textId="77777777" w:rsidR="00EF78CF" w:rsidRDefault="00EF78CF" w:rsidP="00EF78CF">
      <w:pPr>
        <w:pStyle w:val="Sansinterligne"/>
        <w:shd w:val="clear" w:color="auto" w:fill="FFFFFF"/>
        <w:jc w:val="both"/>
        <w:rPr>
          <w:rFonts w:cs="Arial"/>
          <w:szCs w:val="20"/>
        </w:rPr>
      </w:pPr>
    </w:p>
    <w:p w14:paraId="0693B714" w14:textId="77777777" w:rsidR="00EF78CF" w:rsidRPr="00EF78CF" w:rsidRDefault="00EF78CF" w:rsidP="00EF78CF">
      <w:pPr>
        <w:pStyle w:val="Sansinterligne"/>
        <w:shd w:val="clear" w:color="auto" w:fill="FFFFFF"/>
        <w:jc w:val="both"/>
        <w:rPr>
          <w:rFonts w:cs="Arial"/>
          <w:szCs w:val="20"/>
        </w:rPr>
      </w:pPr>
      <w:r w:rsidRPr="00EF78CF">
        <w:rPr>
          <w:rFonts w:cs="Arial"/>
          <w:szCs w:val="20"/>
        </w:rPr>
        <w:t>En conclusion, pour notre logo, il faut différencier la propriété intellectuelle de l’artiste qui a créé le logo du principe de droit de vente d’une affiche, d’un support ou un autre, ou il est imprimé, affiché, gravé.</w:t>
      </w:r>
    </w:p>
    <w:p w14:paraId="0693B715" w14:textId="77777777" w:rsidR="00EF78CF" w:rsidRPr="00EF78CF" w:rsidRDefault="00EF78CF" w:rsidP="00EF78CF">
      <w:pPr>
        <w:pStyle w:val="Sansinterligne"/>
        <w:shd w:val="clear" w:color="auto" w:fill="FFFFFF"/>
        <w:jc w:val="both"/>
        <w:rPr>
          <w:rFonts w:cs="Arial"/>
          <w:szCs w:val="20"/>
        </w:rPr>
      </w:pPr>
      <w:r w:rsidRPr="00EF78CF">
        <w:rPr>
          <w:rFonts w:cs="Arial"/>
          <w:szCs w:val="20"/>
        </w:rPr>
        <w:t>Le support est le bien avec le logo dessus.</w:t>
      </w:r>
    </w:p>
    <w:p w14:paraId="0693B716" w14:textId="5A3A1852" w:rsidR="00EF78CF" w:rsidRPr="00EF78CF" w:rsidRDefault="00EF78CF" w:rsidP="00EF78CF">
      <w:pPr>
        <w:pStyle w:val="Sansinterligne"/>
        <w:shd w:val="clear" w:color="auto" w:fill="FFFFFF"/>
        <w:jc w:val="both"/>
        <w:rPr>
          <w:rFonts w:cs="Arial"/>
          <w:szCs w:val="20"/>
        </w:rPr>
      </w:pPr>
      <w:r w:rsidRPr="00EF78CF">
        <w:rPr>
          <w:rFonts w:cs="Arial"/>
          <w:szCs w:val="20"/>
        </w:rPr>
        <w:t xml:space="preserve">Le support est vendu, par exemple, le T-shirt avec </w:t>
      </w:r>
      <w:r w:rsidR="00174C85" w:rsidRPr="00EF78CF">
        <w:rPr>
          <w:rFonts w:cs="Arial"/>
          <w:szCs w:val="20"/>
        </w:rPr>
        <w:t>ledit</w:t>
      </w:r>
      <w:r w:rsidRPr="00EF78CF">
        <w:rPr>
          <w:rFonts w:cs="Arial"/>
          <w:szCs w:val="20"/>
        </w:rPr>
        <w:t xml:space="preserve"> logo, mais s’il n’y a pas eu accord, contrat, entre le producteur du T-shirt pour la vente du logo et l’artiste, dans la foulée, le producteur ne pourra vendre le T-shirt car il y a propriété intellectuelle.</w:t>
      </w:r>
    </w:p>
    <w:p w14:paraId="0693B717" w14:textId="77777777" w:rsidR="00EF78CF" w:rsidRPr="00EF78CF" w:rsidRDefault="00EF78CF" w:rsidP="00EF78CF">
      <w:pPr>
        <w:pStyle w:val="Sansinterligne"/>
        <w:shd w:val="clear" w:color="auto" w:fill="FFFFFF"/>
        <w:jc w:val="both"/>
        <w:rPr>
          <w:rFonts w:cs="Arial"/>
          <w:szCs w:val="20"/>
        </w:rPr>
      </w:pPr>
      <w:r w:rsidRPr="00EF78CF">
        <w:rPr>
          <w:rFonts w:cs="Arial"/>
          <w:szCs w:val="20"/>
        </w:rPr>
        <w:t>Nous sommes en le contexte du producteur de la production de T-shirts qui fait appel à un artiste indépendant qui vend ses travaux sous le cadre d’un contrat entre producteur et sous-traitant.</w:t>
      </w:r>
    </w:p>
    <w:p w14:paraId="0693B718" w14:textId="77777777" w:rsidR="00EF78CF" w:rsidRPr="00EF78CF" w:rsidRDefault="00EF78CF" w:rsidP="00EF78CF">
      <w:pPr>
        <w:pStyle w:val="Sansinterligne"/>
        <w:shd w:val="clear" w:color="auto" w:fill="FFFFFF"/>
        <w:jc w:val="both"/>
        <w:rPr>
          <w:rFonts w:cs="Arial"/>
          <w:szCs w:val="20"/>
        </w:rPr>
      </w:pPr>
      <w:r w:rsidRPr="00EF78CF">
        <w:rPr>
          <w:rFonts w:cs="Arial"/>
          <w:szCs w:val="20"/>
        </w:rPr>
        <w:t>Quant est-il de l’employé graphiste qui est sous contrat avec notre producteur de T-shirts.</w:t>
      </w:r>
    </w:p>
    <w:p w14:paraId="0693B719" w14:textId="77777777" w:rsidR="00EF78CF" w:rsidRPr="00EF78CF" w:rsidRDefault="00EF78CF" w:rsidP="00EF78CF">
      <w:pPr>
        <w:pStyle w:val="Sansinterligne"/>
        <w:shd w:val="clear" w:color="auto" w:fill="FFFFFF"/>
        <w:jc w:val="both"/>
        <w:rPr>
          <w:rFonts w:cs="Arial"/>
          <w:szCs w:val="20"/>
        </w:rPr>
      </w:pPr>
      <w:r w:rsidRPr="00EF78CF">
        <w:rPr>
          <w:rFonts w:cs="Arial"/>
          <w:szCs w:val="20"/>
        </w:rPr>
        <w:t>En règle générale, le contrat qui lie l’employé et le producteur stipule que toutes les œuvres de notre artiste deviennent la propriété de l’employeur « de facto » et « stricto sensu ».</w:t>
      </w:r>
    </w:p>
    <w:p w14:paraId="0693B71A" w14:textId="77777777" w:rsidR="00EF78CF" w:rsidRPr="00EF78CF" w:rsidRDefault="00EF78CF" w:rsidP="00EF78CF">
      <w:pPr>
        <w:pStyle w:val="Sansinterligne"/>
        <w:shd w:val="clear" w:color="auto" w:fill="FFFFFF"/>
        <w:jc w:val="both"/>
        <w:rPr>
          <w:rFonts w:cs="Arial"/>
          <w:szCs w:val="20"/>
        </w:rPr>
      </w:pPr>
      <w:r w:rsidRPr="00EF78CF">
        <w:rPr>
          <w:rFonts w:cs="Arial"/>
          <w:szCs w:val="20"/>
        </w:rPr>
        <w:t xml:space="preserve"> </w:t>
      </w:r>
    </w:p>
    <w:p w14:paraId="0693B71B" w14:textId="77777777" w:rsidR="00EF78CF" w:rsidRPr="00EF78CF" w:rsidRDefault="00EF78CF" w:rsidP="00EF78CF">
      <w:pPr>
        <w:pStyle w:val="Sansinterligne"/>
        <w:shd w:val="clear" w:color="auto" w:fill="FFFFFF"/>
        <w:jc w:val="both"/>
        <w:rPr>
          <w:rFonts w:cs="Arial"/>
          <w:szCs w:val="20"/>
        </w:rPr>
      </w:pPr>
      <w:r w:rsidRPr="00EF78CF">
        <w:rPr>
          <w:rFonts w:cs="Arial"/>
          <w:szCs w:val="20"/>
        </w:rPr>
        <w:t>Pour exemple de contrat type pour notre dessinateur.</w:t>
      </w:r>
    </w:p>
    <w:p w14:paraId="0693B71C" w14:textId="77777777" w:rsidR="00EF78CF" w:rsidRPr="00EF78CF" w:rsidRDefault="00EF78CF" w:rsidP="00EF78CF">
      <w:pPr>
        <w:pStyle w:val="Sansinterligne"/>
        <w:shd w:val="clear" w:color="auto" w:fill="FFFFFF"/>
        <w:jc w:val="both"/>
        <w:rPr>
          <w:rFonts w:cs="Arial"/>
          <w:szCs w:val="20"/>
        </w:rPr>
      </w:pPr>
    </w:p>
    <w:p w14:paraId="0693B71D" w14:textId="77777777" w:rsidR="00EF78CF" w:rsidRPr="00EF78CF" w:rsidRDefault="00FB0892" w:rsidP="00EF78CF">
      <w:pPr>
        <w:pStyle w:val="Sansinterligne"/>
        <w:shd w:val="clear" w:color="auto" w:fill="FFFFFF"/>
        <w:jc w:val="both"/>
        <w:rPr>
          <w:rFonts w:cs="Arial"/>
          <w:szCs w:val="20"/>
        </w:rPr>
      </w:pPr>
      <w:r>
        <w:rPr>
          <w:noProof/>
          <w:szCs w:val="20"/>
          <w:lang w:val="fr-BE" w:eastAsia="fr-BE"/>
        </w:rPr>
        <mc:AlternateContent>
          <mc:Choice Requires="wps">
            <w:drawing>
              <wp:anchor distT="0" distB="0" distL="114300" distR="114300" simplePos="0" relativeHeight="251668992" behindDoc="0" locked="0" layoutInCell="1" allowOverlap="1" wp14:anchorId="0693BAF0" wp14:editId="0693BAF1">
                <wp:simplePos x="0" y="0"/>
                <wp:positionH relativeFrom="column">
                  <wp:posOffset>1086485</wp:posOffset>
                </wp:positionH>
                <wp:positionV relativeFrom="paragraph">
                  <wp:posOffset>25400</wp:posOffset>
                </wp:positionV>
                <wp:extent cx="3638550" cy="1264920"/>
                <wp:effectExtent l="10160" t="6350" r="8890" b="5080"/>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64920"/>
                        </a:xfrm>
                        <a:prstGeom prst="rect">
                          <a:avLst/>
                        </a:prstGeom>
                        <a:solidFill>
                          <a:srgbClr val="FFFFFF"/>
                        </a:solidFill>
                        <a:ln w="9525">
                          <a:solidFill>
                            <a:srgbClr val="000000"/>
                          </a:solidFill>
                          <a:miter lim="800000"/>
                          <a:headEnd/>
                          <a:tailEnd/>
                        </a:ln>
                      </wps:spPr>
                      <wps:txbx>
                        <w:txbxContent>
                          <w:p w14:paraId="0693BB5E" w14:textId="77777777" w:rsidR="00105A84" w:rsidRPr="00EF78CF" w:rsidRDefault="00105A84" w:rsidP="00EF78CF">
                            <w:pPr>
                              <w:shd w:val="clear" w:color="auto" w:fill="DDD9C3"/>
                              <w:autoSpaceDE w:val="0"/>
                              <w:autoSpaceDN w:val="0"/>
                              <w:adjustRightInd w:val="0"/>
                              <w:rPr>
                                <w:rFonts w:cs="Arial"/>
                                <w:szCs w:val="20"/>
                              </w:rPr>
                            </w:pPr>
                            <w:r w:rsidRPr="00EF78CF">
                              <w:rPr>
                                <w:rFonts w:cs="Arial"/>
                                <w:szCs w:val="20"/>
                              </w:rPr>
                              <w:t>Article 13 - Droits d'auteur</w:t>
                            </w:r>
                          </w:p>
                          <w:p w14:paraId="0693BB5F" w14:textId="77777777" w:rsidR="00105A84" w:rsidRPr="00EF78CF" w:rsidRDefault="00105A84" w:rsidP="00EF78CF">
                            <w:pPr>
                              <w:shd w:val="clear" w:color="auto" w:fill="DDD9C3"/>
                              <w:autoSpaceDE w:val="0"/>
                              <w:autoSpaceDN w:val="0"/>
                              <w:adjustRightInd w:val="0"/>
                              <w:rPr>
                                <w:rFonts w:cs="Arial"/>
                                <w:szCs w:val="20"/>
                              </w:rPr>
                            </w:pPr>
                            <w:r w:rsidRPr="00EF78CF">
                              <w:rPr>
                                <w:rFonts w:cs="Arial"/>
                                <w:szCs w:val="20"/>
                              </w:rPr>
                              <w:t>En application de la loi du 30 juin 1994 relative aux droits d'auteur et aux droits voisins,</w:t>
                            </w:r>
                            <w:r>
                              <w:rPr>
                                <w:rFonts w:cs="Arial"/>
                                <w:szCs w:val="20"/>
                              </w:rPr>
                              <w:t xml:space="preserve"> </w:t>
                            </w:r>
                            <w:r w:rsidRPr="00EF78CF">
                              <w:rPr>
                                <w:rFonts w:cs="Arial"/>
                                <w:szCs w:val="20"/>
                              </w:rPr>
                              <w:t>l'employé reconnaît expressément céder à l'employeur tous les droits patrimoniaux de</w:t>
                            </w:r>
                            <w:r>
                              <w:rPr>
                                <w:rFonts w:cs="Arial"/>
                                <w:szCs w:val="20"/>
                              </w:rPr>
                              <w:t xml:space="preserve"> </w:t>
                            </w:r>
                            <w:r w:rsidRPr="00EF78CF">
                              <w:rPr>
                                <w:rFonts w:cs="Arial"/>
                                <w:szCs w:val="20"/>
                              </w:rPr>
                              <w:t>reproduction et de communication, en ce compris les droits à rémunération, qu'il</w:t>
                            </w:r>
                            <w:r>
                              <w:rPr>
                                <w:rFonts w:cs="Arial"/>
                                <w:szCs w:val="20"/>
                              </w:rPr>
                              <w:t xml:space="preserve"> </w:t>
                            </w:r>
                            <w:r w:rsidRPr="00EF78CF">
                              <w:rPr>
                                <w:rFonts w:cs="Arial"/>
                                <w:szCs w:val="20"/>
                              </w:rPr>
                              <w:t>détiendrait sur les créations qu'il aurait faites dans le cadre de son contrat de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1" type="#_x0000_t202" style="position:absolute;left:0;text-align:left;margin-left:85.55pt;margin-top:2pt;width:286.5pt;height:9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">
                <v:textbox>
                  <w:txbxContent>
                    <w:p w14:paraId="0693BB5E" w14:textId="77777777" w:rsidR="00105A84" w:rsidRPr="00EF78CF" w:rsidRDefault="00105A84" w:rsidP="00EF78CF">
                      <w:pPr>
                        <w:shd w:val="clear" w:color="auto" w:fill="DDD9C3"/>
                        <w:autoSpaceDE w:val="0"/>
                        <w:autoSpaceDN w:val="0"/>
                        <w:adjustRightInd w:val="0"/>
                        <w:rPr>
                          <w:rFonts w:cs="Arial"/>
                          <w:szCs w:val="20"/>
                        </w:rPr>
                      </w:pPr>
                      <w:r w:rsidRPr="00EF78CF">
                        <w:rPr>
                          <w:rFonts w:cs="Arial"/>
                          <w:szCs w:val="20"/>
                        </w:rPr>
                        <w:t>Article 13 - Droits d'auteur</w:t>
                      </w:r>
                    </w:p>
                    <w:p w14:paraId="0693BB5F" w14:textId="77777777" w:rsidR="00105A84" w:rsidRPr="00EF78CF" w:rsidRDefault="00105A84" w:rsidP="00EF78CF">
                      <w:pPr>
                        <w:shd w:val="clear" w:color="auto" w:fill="DDD9C3"/>
                        <w:autoSpaceDE w:val="0"/>
                        <w:autoSpaceDN w:val="0"/>
                        <w:adjustRightInd w:val="0"/>
                        <w:rPr>
                          <w:rFonts w:cs="Arial"/>
                          <w:szCs w:val="20"/>
                        </w:rPr>
                      </w:pPr>
                      <w:r w:rsidRPr="00EF78CF">
                        <w:rPr>
                          <w:rFonts w:cs="Arial"/>
                          <w:szCs w:val="20"/>
                        </w:rPr>
                        <w:t>En application de la loi du 30 juin 1994 relative aux droits d'auteur et aux droits voisins,</w:t>
                      </w:r>
                      <w:r>
                        <w:rPr>
                          <w:rFonts w:cs="Arial"/>
                          <w:szCs w:val="20"/>
                        </w:rPr>
                        <w:t xml:space="preserve"> </w:t>
                      </w:r>
                      <w:r w:rsidRPr="00EF78CF">
                        <w:rPr>
                          <w:rFonts w:cs="Arial"/>
                          <w:szCs w:val="20"/>
                        </w:rPr>
                        <w:t>l'employé reconnaît expressément céder à l'employeur tous les droits patrimoniaux de</w:t>
                      </w:r>
                      <w:r>
                        <w:rPr>
                          <w:rFonts w:cs="Arial"/>
                          <w:szCs w:val="20"/>
                        </w:rPr>
                        <w:t xml:space="preserve"> </w:t>
                      </w:r>
                      <w:r w:rsidRPr="00EF78CF">
                        <w:rPr>
                          <w:rFonts w:cs="Arial"/>
                          <w:szCs w:val="20"/>
                        </w:rPr>
                        <w:t>reproduction et de communication, en ce compris les droits à rémunération, qu'il</w:t>
                      </w:r>
                      <w:r>
                        <w:rPr>
                          <w:rFonts w:cs="Arial"/>
                          <w:szCs w:val="20"/>
                        </w:rPr>
                        <w:t xml:space="preserve"> </w:t>
                      </w:r>
                      <w:r w:rsidRPr="00EF78CF">
                        <w:rPr>
                          <w:rFonts w:cs="Arial"/>
                          <w:szCs w:val="20"/>
                        </w:rPr>
                        <w:t>détiendrait sur les créations qu'il aurait faites dans le cadre de son contrat de travail.</w:t>
                      </w:r>
                    </w:p>
                  </w:txbxContent>
                </v:textbox>
              </v:shape>
            </w:pict>
          </mc:Fallback>
        </mc:AlternateContent>
      </w:r>
    </w:p>
    <w:p w14:paraId="0693B71E" w14:textId="77777777" w:rsidR="00EF78CF" w:rsidRPr="00EF78CF" w:rsidRDefault="00EF78CF" w:rsidP="00EF78CF">
      <w:pPr>
        <w:pStyle w:val="Sansinterligne"/>
        <w:shd w:val="clear" w:color="auto" w:fill="FFFFFF"/>
        <w:jc w:val="both"/>
        <w:rPr>
          <w:rFonts w:cs="Arial"/>
          <w:szCs w:val="20"/>
        </w:rPr>
      </w:pPr>
    </w:p>
    <w:p w14:paraId="0693B71F" w14:textId="77777777" w:rsidR="00EF78CF" w:rsidRPr="00EF78CF" w:rsidRDefault="00EF78CF" w:rsidP="00EF78CF">
      <w:pPr>
        <w:pStyle w:val="Sansinterligne"/>
        <w:shd w:val="clear" w:color="auto" w:fill="FFFFFF"/>
        <w:jc w:val="both"/>
        <w:rPr>
          <w:rFonts w:cs="Arial"/>
          <w:szCs w:val="20"/>
        </w:rPr>
      </w:pPr>
    </w:p>
    <w:p w14:paraId="0693B720" w14:textId="77777777" w:rsidR="00EF78CF" w:rsidRPr="00EF78CF" w:rsidRDefault="00EF78CF" w:rsidP="00EF78CF">
      <w:pPr>
        <w:pStyle w:val="Sansinterligne"/>
        <w:shd w:val="clear" w:color="auto" w:fill="FFFFFF"/>
        <w:jc w:val="both"/>
        <w:rPr>
          <w:rFonts w:cs="Arial"/>
          <w:szCs w:val="20"/>
        </w:rPr>
      </w:pPr>
    </w:p>
    <w:p w14:paraId="0693B721" w14:textId="77777777" w:rsidR="00EF78CF" w:rsidRPr="00EF78CF" w:rsidRDefault="00EF78CF" w:rsidP="00EF78CF">
      <w:pPr>
        <w:pStyle w:val="Sansinterligne"/>
        <w:shd w:val="clear" w:color="auto" w:fill="FFFFFF"/>
        <w:jc w:val="both"/>
        <w:rPr>
          <w:rFonts w:cs="Arial"/>
          <w:szCs w:val="20"/>
        </w:rPr>
      </w:pPr>
    </w:p>
    <w:p w14:paraId="0693B722" w14:textId="77777777" w:rsidR="00EF78CF" w:rsidRPr="00EF78CF" w:rsidRDefault="00EF78CF" w:rsidP="00EF78CF">
      <w:pPr>
        <w:pStyle w:val="Sansinterligne"/>
        <w:shd w:val="clear" w:color="auto" w:fill="FFFFFF"/>
        <w:jc w:val="both"/>
        <w:rPr>
          <w:rFonts w:cs="Arial"/>
          <w:szCs w:val="20"/>
        </w:rPr>
      </w:pPr>
    </w:p>
    <w:p w14:paraId="0693B723" w14:textId="77777777" w:rsidR="00EF78CF" w:rsidRPr="00EF78CF" w:rsidRDefault="00EF78CF" w:rsidP="00EF78CF">
      <w:pPr>
        <w:pStyle w:val="Sansinterligne"/>
        <w:shd w:val="clear" w:color="auto" w:fill="FFFFFF"/>
        <w:jc w:val="both"/>
        <w:rPr>
          <w:rFonts w:cs="Arial"/>
          <w:szCs w:val="20"/>
        </w:rPr>
      </w:pPr>
    </w:p>
    <w:p w14:paraId="0693B724" w14:textId="77777777" w:rsidR="00EF78CF" w:rsidRPr="00EF78CF" w:rsidRDefault="00EF78CF" w:rsidP="00EF78CF">
      <w:pPr>
        <w:pStyle w:val="Sansinterligne"/>
        <w:shd w:val="clear" w:color="auto" w:fill="FFFFFF"/>
        <w:jc w:val="both"/>
        <w:rPr>
          <w:rFonts w:cs="Arial"/>
          <w:szCs w:val="20"/>
        </w:rPr>
      </w:pPr>
    </w:p>
    <w:p w14:paraId="0693B725" w14:textId="77777777" w:rsidR="00EF78CF" w:rsidRPr="00EF78CF" w:rsidRDefault="00EF78CF" w:rsidP="00EF78CF">
      <w:pPr>
        <w:pStyle w:val="Sansinterligne"/>
        <w:shd w:val="clear" w:color="auto" w:fill="FFFFFF"/>
        <w:jc w:val="both"/>
        <w:rPr>
          <w:rFonts w:cs="Arial"/>
          <w:szCs w:val="20"/>
        </w:rPr>
      </w:pPr>
    </w:p>
    <w:p w14:paraId="0693B726" w14:textId="77777777" w:rsidR="00EF78CF" w:rsidRDefault="00EF78CF" w:rsidP="00EF78CF">
      <w:pPr>
        <w:pStyle w:val="Sansinterligne"/>
        <w:shd w:val="clear" w:color="auto" w:fill="FFFFFF"/>
        <w:jc w:val="both"/>
        <w:rPr>
          <w:rFonts w:cs="Arial"/>
          <w:szCs w:val="20"/>
        </w:rPr>
      </w:pPr>
    </w:p>
    <w:p w14:paraId="0693B727" w14:textId="77777777" w:rsidR="00EF78CF" w:rsidRPr="00EF78CF" w:rsidRDefault="00EF78CF" w:rsidP="00EF78CF">
      <w:pPr>
        <w:pStyle w:val="Sansinterligne"/>
        <w:shd w:val="clear" w:color="auto" w:fill="FFFFFF"/>
        <w:jc w:val="both"/>
        <w:rPr>
          <w:rFonts w:cs="Arial"/>
          <w:szCs w:val="20"/>
        </w:rPr>
      </w:pPr>
      <w:r w:rsidRPr="00EF78CF">
        <w:rPr>
          <w:rFonts w:cs="Arial"/>
          <w:szCs w:val="20"/>
        </w:rPr>
        <w:t>Source : (</w:t>
      </w:r>
      <w:hyperlink r:id="rId115" w:history="1">
        <w:r w:rsidRPr="00EF78CF">
          <w:rPr>
            <w:rStyle w:val="Lienhypertexte"/>
            <w:rFonts w:cs="Arial"/>
            <w:szCs w:val="20"/>
          </w:rPr>
          <w:t>http://www.droitbelge.be/contrats/AC_contrat_de_travail.pdf</w:t>
        </w:r>
      </w:hyperlink>
      <w:r w:rsidRPr="00EF78CF">
        <w:rPr>
          <w:rFonts w:cs="Arial"/>
          <w:szCs w:val="20"/>
        </w:rPr>
        <w:t>)</w:t>
      </w:r>
    </w:p>
    <w:p w14:paraId="0693B728" w14:textId="77777777" w:rsidR="00EF78CF" w:rsidRDefault="00EF78CF" w:rsidP="00EF78CF">
      <w:pPr>
        <w:pStyle w:val="Titre3"/>
      </w:pPr>
      <w:bookmarkStart w:id="298" w:name="_Toc482815637"/>
      <w:r>
        <w:t>Les marques</w:t>
      </w:r>
      <w:bookmarkEnd w:id="298"/>
    </w:p>
    <w:p w14:paraId="0693B729" w14:textId="77777777" w:rsidR="00EF78CF" w:rsidRPr="00EF78CF" w:rsidRDefault="00EF78CF" w:rsidP="00EF78CF">
      <w:pPr>
        <w:pStyle w:val="Sansinterligne"/>
        <w:shd w:val="clear" w:color="auto" w:fill="FFFFFF"/>
        <w:jc w:val="both"/>
        <w:rPr>
          <w:rFonts w:cs="Arial"/>
          <w:szCs w:val="20"/>
        </w:rPr>
      </w:pPr>
      <w:r w:rsidRPr="00EF78CF">
        <w:rPr>
          <w:rFonts w:cs="Arial"/>
          <w:szCs w:val="20"/>
        </w:rPr>
        <w:t>Mode d’emploi et différences entre notre logo préservé par l’enregistrement à l’office de la propriété intellectuelle et maintenant, notre marque.</w:t>
      </w:r>
    </w:p>
    <w:p w14:paraId="0693B72A" w14:textId="77777777" w:rsidR="00EF78CF" w:rsidRPr="00EF78CF" w:rsidRDefault="00EF78CF" w:rsidP="00EF78CF">
      <w:pPr>
        <w:pStyle w:val="Sansinterligne"/>
        <w:shd w:val="clear" w:color="auto" w:fill="FFFFFF"/>
        <w:jc w:val="both"/>
        <w:rPr>
          <w:rFonts w:cs="Arial"/>
          <w:szCs w:val="20"/>
        </w:rPr>
      </w:pPr>
      <w:r w:rsidRPr="00EF78CF">
        <w:rPr>
          <w:rFonts w:cs="Arial"/>
          <w:szCs w:val="20"/>
        </w:rPr>
        <w:t xml:space="preserve">Notre dessinateur </w:t>
      </w:r>
      <w:r w:rsidR="003F3E97" w:rsidRPr="00EF78CF">
        <w:rPr>
          <w:rFonts w:cs="Arial"/>
          <w:szCs w:val="20"/>
        </w:rPr>
        <w:t>a</w:t>
      </w:r>
      <w:r w:rsidRPr="00EF78CF">
        <w:rPr>
          <w:rFonts w:cs="Arial"/>
          <w:szCs w:val="20"/>
        </w:rPr>
        <w:t xml:space="preserve"> décidé de ne pas travailler en sous-traitance pour un producteur mais décide de produire ses T-shirts lui-même avec son propre logo.</w:t>
      </w:r>
    </w:p>
    <w:p w14:paraId="0693B72B" w14:textId="320C4BD0" w:rsidR="00EF78CF" w:rsidRPr="00EF78CF" w:rsidRDefault="00EF78CF" w:rsidP="00EF78CF">
      <w:pPr>
        <w:pStyle w:val="Sansinterligne"/>
        <w:shd w:val="clear" w:color="auto" w:fill="FFFFFF"/>
        <w:jc w:val="both"/>
        <w:rPr>
          <w:rFonts w:cs="Arial"/>
          <w:szCs w:val="20"/>
        </w:rPr>
      </w:pPr>
      <w:r w:rsidRPr="00EF78CF">
        <w:rPr>
          <w:rFonts w:cs="Arial"/>
          <w:szCs w:val="20"/>
        </w:rPr>
        <w:t xml:space="preserve">Outre qu’il </w:t>
      </w:r>
      <w:r w:rsidR="00174C85" w:rsidRPr="00EF78CF">
        <w:rPr>
          <w:rFonts w:cs="Arial"/>
          <w:szCs w:val="20"/>
        </w:rPr>
        <w:t>doive</w:t>
      </w:r>
      <w:r w:rsidRPr="00EF78CF">
        <w:rPr>
          <w:rFonts w:cs="Arial"/>
          <w:szCs w:val="20"/>
        </w:rPr>
        <w:t xml:space="preserve"> créer une société, voir au moins prendre un numéro de TVA, notre futur entrepreneur a maintenant deux options</w:t>
      </w:r>
      <w:r w:rsidR="003F3E97" w:rsidRPr="00EF78CF">
        <w:rPr>
          <w:rFonts w:cs="Arial"/>
          <w:szCs w:val="20"/>
        </w:rPr>
        <w:t>...</w:t>
      </w:r>
    </w:p>
    <w:p w14:paraId="0693B72C" w14:textId="25564806" w:rsidR="00EF78CF" w:rsidRPr="00EF78CF" w:rsidRDefault="00EF78CF" w:rsidP="00EF78CF">
      <w:pPr>
        <w:pStyle w:val="Sansinterligne"/>
        <w:shd w:val="clear" w:color="auto" w:fill="FFFFFF"/>
        <w:jc w:val="both"/>
        <w:rPr>
          <w:rFonts w:cs="Arial"/>
          <w:szCs w:val="20"/>
        </w:rPr>
      </w:pPr>
      <w:r w:rsidRPr="00EF78CF">
        <w:rPr>
          <w:rFonts w:cs="Arial"/>
          <w:szCs w:val="20"/>
        </w:rPr>
        <w:t xml:space="preserve">Soit aller au bureau de </w:t>
      </w:r>
      <w:r w:rsidR="00174C85" w:rsidRPr="00EF78CF">
        <w:rPr>
          <w:rFonts w:cs="Arial"/>
          <w:szCs w:val="20"/>
        </w:rPr>
        <w:t>l’«</w:t>
      </w:r>
      <w:r w:rsidRPr="00EF78CF">
        <w:rPr>
          <w:rFonts w:cs="Arial"/>
          <w:szCs w:val="20"/>
        </w:rPr>
        <w:t> OPRI », même endroit, en l’occurrence, l’office de la propriété intellectuelle, pour y déposer sa marque soit à l’ « OB</w:t>
      </w:r>
      <w:r w:rsidR="005C6C62">
        <w:rPr>
          <w:rFonts w:cs="Arial"/>
          <w:szCs w:val="20"/>
        </w:rPr>
        <w:t>P</w:t>
      </w:r>
      <w:r w:rsidRPr="00EF78CF">
        <w:rPr>
          <w:rFonts w:cs="Arial"/>
          <w:szCs w:val="20"/>
        </w:rPr>
        <w:t>I ».</w:t>
      </w:r>
    </w:p>
    <w:p w14:paraId="0693B72D" w14:textId="77777777" w:rsidR="00EF78CF" w:rsidRPr="00EF78CF" w:rsidRDefault="00EF78CF" w:rsidP="00EF78CF">
      <w:pPr>
        <w:pStyle w:val="Sansinterligne"/>
        <w:shd w:val="clear" w:color="auto" w:fill="FFFFFF"/>
        <w:jc w:val="both"/>
        <w:rPr>
          <w:rFonts w:cs="Arial"/>
          <w:szCs w:val="20"/>
        </w:rPr>
      </w:pPr>
    </w:p>
    <w:p w14:paraId="0693B72E" w14:textId="02CDFB3E" w:rsidR="00EF78CF" w:rsidRPr="00EF78CF" w:rsidRDefault="00EF78CF" w:rsidP="00EF78CF">
      <w:pPr>
        <w:pStyle w:val="Sansinterligne"/>
        <w:shd w:val="clear" w:color="auto" w:fill="FFFFFF"/>
        <w:jc w:val="both"/>
        <w:rPr>
          <w:rFonts w:cs="Arial"/>
          <w:szCs w:val="20"/>
        </w:rPr>
      </w:pPr>
      <w:r w:rsidRPr="00EF78CF">
        <w:rPr>
          <w:rFonts w:cs="Arial"/>
          <w:szCs w:val="20"/>
        </w:rPr>
        <w:t xml:space="preserve">L’OBRI est un bureau d’enregistrement du même genre que </w:t>
      </w:r>
      <w:r w:rsidR="00174C85" w:rsidRPr="00EF78CF">
        <w:rPr>
          <w:rFonts w:cs="Arial"/>
          <w:szCs w:val="20"/>
        </w:rPr>
        <w:t>l’«</w:t>
      </w:r>
      <w:r w:rsidRPr="00EF78CF">
        <w:rPr>
          <w:rFonts w:cs="Arial"/>
          <w:szCs w:val="20"/>
        </w:rPr>
        <w:t> OPRI » pour la protection des droits intellectuels mais à un  niveau plus étendu.</w:t>
      </w:r>
    </w:p>
    <w:p w14:paraId="0693B72F" w14:textId="77777777" w:rsidR="00EF78CF" w:rsidRPr="00EF78CF" w:rsidRDefault="00EF78CF" w:rsidP="00EF78CF">
      <w:pPr>
        <w:pStyle w:val="Sansinterligne"/>
        <w:shd w:val="clear" w:color="auto" w:fill="FFFFFF"/>
        <w:jc w:val="both"/>
        <w:rPr>
          <w:rFonts w:cs="Arial"/>
          <w:szCs w:val="20"/>
        </w:rPr>
      </w:pPr>
      <w:r w:rsidRPr="00EF78CF">
        <w:rPr>
          <w:rFonts w:cs="Arial"/>
          <w:szCs w:val="20"/>
        </w:rPr>
        <w:t>Pour la gouverne, il ne faut pas s’y présenter sur place, un fax suffira et les documents prévus à remplir existent, toutes facilités étant à disposition de notre créateur.</w:t>
      </w:r>
    </w:p>
    <w:p w14:paraId="0693B730" w14:textId="77777777" w:rsidR="00EF78CF" w:rsidRDefault="00EF78CF" w:rsidP="00EF78CF">
      <w:pPr>
        <w:pStyle w:val="Sansinterligne"/>
        <w:shd w:val="clear" w:color="auto" w:fill="FFFFFF"/>
        <w:jc w:val="both"/>
        <w:rPr>
          <w:rFonts w:ascii="Arial" w:hAnsi="Arial" w:cs="Arial"/>
          <w:i/>
          <w:sz w:val="24"/>
        </w:rPr>
      </w:pPr>
    </w:p>
    <w:p w14:paraId="0693B731" w14:textId="77777777" w:rsidR="00EF78CF" w:rsidRDefault="00FB0892" w:rsidP="00EF78CF">
      <w:pPr>
        <w:pStyle w:val="Sansinterligne"/>
        <w:shd w:val="clear" w:color="auto" w:fill="FFFFFF"/>
        <w:jc w:val="both"/>
        <w:rPr>
          <w:rFonts w:ascii="Arial" w:hAnsi="Arial" w:cs="Arial"/>
          <w:i/>
          <w:sz w:val="24"/>
        </w:rPr>
      </w:pPr>
      <w:r>
        <w:rPr>
          <w:rFonts w:ascii="Calibri" w:hAnsi="Calibri"/>
          <w:noProof/>
          <w:sz w:val="22"/>
          <w:szCs w:val="22"/>
          <w:lang w:val="fr-BE" w:eastAsia="fr-BE"/>
        </w:rPr>
        <w:lastRenderedPageBreak/>
        <mc:AlternateContent>
          <mc:Choice Requires="wps">
            <w:drawing>
              <wp:anchor distT="0" distB="0" distL="114300" distR="114300" simplePos="0" relativeHeight="251672064" behindDoc="0" locked="0" layoutInCell="1" allowOverlap="1" wp14:anchorId="0693BAF2" wp14:editId="0693BAF3">
                <wp:simplePos x="0" y="0"/>
                <wp:positionH relativeFrom="column">
                  <wp:posOffset>1016000</wp:posOffset>
                </wp:positionH>
                <wp:positionV relativeFrom="paragraph">
                  <wp:posOffset>0</wp:posOffset>
                </wp:positionV>
                <wp:extent cx="3767455" cy="937260"/>
                <wp:effectExtent l="6350" t="9525" r="7620" b="5715"/>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937260"/>
                        </a:xfrm>
                        <a:prstGeom prst="rect">
                          <a:avLst/>
                        </a:prstGeom>
                        <a:solidFill>
                          <a:srgbClr val="FFFFFF"/>
                        </a:solidFill>
                        <a:ln w="9525">
                          <a:solidFill>
                            <a:srgbClr val="000000"/>
                          </a:solidFill>
                          <a:miter lim="800000"/>
                          <a:headEnd/>
                          <a:tailEnd/>
                        </a:ln>
                      </wps:spPr>
                      <wps:txbx>
                        <w:txbxContent>
                          <w:p w14:paraId="0693BB60" w14:textId="77777777" w:rsidR="00105A84" w:rsidRPr="00EF78CF" w:rsidRDefault="00105A84" w:rsidP="00EF78CF">
                            <w:pPr>
                              <w:pStyle w:val="NormalWeb"/>
                              <w:shd w:val="clear" w:color="auto" w:fill="DDD9C3"/>
                              <w:snapToGrid w:val="0"/>
                              <w:rPr>
                                <w:rFonts w:ascii="Trebuchet MS" w:hAnsi="Trebuchet MS" w:cs="Arial"/>
                                <w:i/>
                                <w:sz w:val="20"/>
                                <w:szCs w:val="20"/>
                                <w:lang w:val="fr-FR"/>
                              </w:rPr>
                            </w:pPr>
                            <w:r w:rsidRPr="00EF78CF">
                              <w:rPr>
                                <w:rFonts w:ascii="Trebuchet MS" w:hAnsi="Trebuchet MS" w:cs="Arial"/>
                                <w:i/>
                                <w:sz w:val="20"/>
                                <w:szCs w:val="20"/>
                                <w:lang w:val="fr-FR"/>
                              </w:rPr>
                              <w:t xml:space="preserve">Office Benelux de la Propriété Intellectuelle (OBPI) </w:t>
                            </w:r>
                            <w:r w:rsidRPr="00EF78CF">
                              <w:rPr>
                                <w:rFonts w:ascii="Trebuchet MS" w:hAnsi="Trebuchet MS" w:cs="Arial"/>
                                <w:i/>
                                <w:sz w:val="20"/>
                                <w:szCs w:val="20"/>
                                <w:lang w:val="fr-FR"/>
                              </w:rPr>
                              <w:br/>
                              <w:t xml:space="preserve">Bordewijklaan 15 </w:t>
                            </w:r>
                            <w:r w:rsidRPr="00EF78CF">
                              <w:rPr>
                                <w:rFonts w:ascii="Trebuchet MS" w:hAnsi="Trebuchet MS" w:cs="Arial"/>
                                <w:i/>
                                <w:sz w:val="20"/>
                                <w:szCs w:val="20"/>
                                <w:lang w:val="fr-FR"/>
                              </w:rPr>
                              <w:br/>
                              <w:t xml:space="preserve">NL-2591 XR La Haye </w:t>
                            </w:r>
                            <w:r w:rsidRPr="00EF78CF">
                              <w:rPr>
                                <w:rFonts w:ascii="Trebuchet MS" w:hAnsi="Trebuchet MS" w:cs="Arial"/>
                                <w:i/>
                                <w:sz w:val="20"/>
                                <w:szCs w:val="20"/>
                                <w:lang w:val="fr-FR"/>
                              </w:rPr>
                              <w:br/>
                              <w:t xml:space="preserve">Pays-Bas </w:t>
                            </w:r>
                            <w:r w:rsidRPr="00EF78CF">
                              <w:rPr>
                                <w:rFonts w:ascii="Trebuchet MS" w:hAnsi="Trebuchet MS" w:cs="Arial"/>
                                <w:i/>
                                <w:sz w:val="20"/>
                                <w:szCs w:val="20"/>
                                <w:lang w:val="fr-FR"/>
                              </w:rPr>
                              <w:br/>
                              <w:t xml:space="preserve">Tel. : 0031 (0)70 349 11 11 </w:t>
                            </w:r>
                            <w:r w:rsidRPr="00EF78CF">
                              <w:rPr>
                                <w:rFonts w:ascii="Trebuchet MS" w:hAnsi="Trebuchet MS" w:cs="Arial"/>
                                <w:i/>
                                <w:sz w:val="20"/>
                                <w:szCs w:val="20"/>
                                <w:lang w:val="fr-FR"/>
                              </w:rPr>
                              <w:br/>
                              <w:t>Fax : 0031 (0)70 347 57 08 </w:t>
                            </w:r>
                          </w:p>
                          <w:p w14:paraId="0693BB61" w14:textId="77777777" w:rsidR="00105A84" w:rsidRDefault="00105A84" w:rsidP="00EF78C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left:0;text-align:left;margin-left:80pt;margin-top:0;width:296.65pt;height:7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">
                <v:textbox>
                  <w:txbxContent>
                    <w:p w14:paraId="0693BB60" w14:textId="77777777" w:rsidR="00105A84" w:rsidRPr="00EF78CF" w:rsidRDefault="00105A84" w:rsidP="00EF78CF">
                      <w:pPr>
                        <w:pStyle w:val="NormalWeb"/>
                        <w:shd w:val="clear" w:color="auto" w:fill="DDD9C3"/>
                        <w:snapToGrid w:val="0"/>
                        <w:rPr>
                          <w:rFonts w:ascii="Trebuchet MS" w:hAnsi="Trebuchet MS" w:cs="Arial"/>
                          <w:i/>
                          <w:sz w:val="20"/>
                          <w:szCs w:val="20"/>
                          <w:lang w:val="fr-FR"/>
                        </w:rPr>
                      </w:pPr>
                      <w:r w:rsidRPr="00EF78CF">
                        <w:rPr>
                          <w:rFonts w:ascii="Trebuchet MS" w:hAnsi="Trebuchet MS" w:cs="Arial"/>
                          <w:i/>
                          <w:sz w:val="20"/>
                          <w:szCs w:val="20"/>
                          <w:lang w:val="fr-FR"/>
                        </w:rPr>
                        <w:t xml:space="preserve">Office Benelux de la Propriété Intellectuelle (OBPI) </w:t>
                      </w:r>
                      <w:r w:rsidRPr="00EF78CF">
                        <w:rPr>
                          <w:rFonts w:ascii="Trebuchet MS" w:hAnsi="Trebuchet MS" w:cs="Arial"/>
                          <w:i/>
                          <w:sz w:val="20"/>
                          <w:szCs w:val="20"/>
                          <w:lang w:val="fr-FR"/>
                        </w:rPr>
                        <w:br/>
                        <w:t xml:space="preserve">Bordewijklaan 15 </w:t>
                      </w:r>
                      <w:r w:rsidRPr="00EF78CF">
                        <w:rPr>
                          <w:rFonts w:ascii="Trebuchet MS" w:hAnsi="Trebuchet MS" w:cs="Arial"/>
                          <w:i/>
                          <w:sz w:val="20"/>
                          <w:szCs w:val="20"/>
                          <w:lang w:val="fr-FR"/>
                        </w:rPr>
                        <w:br/>
                        <w:t xml:space="preserve">NL-2591 XR La Haye </w:t>
                      </w:r>
                      <w:r w:rsidRPr="00EF78CF">
                        <w:rPr>
                          <w:rFonts w:ascii="Trebuchet MS" w:hAnsi="Trebuchet MS" w:cs="Arial"/>
                          <w:i/>
                          <w:sz w:val="20"/>
                          <w:szCs w:val="20"/>
                          <w:lang w:val="fr-FR"/>
                        </w:rPr>
                        <w:br/>
                        <w:t xml:space="preserve">Pays-Bas </w:t>
                      </w:r>
                      <w:r w:rsidRPr="00EF78CF">
                        <w:rPr>
                          <w:rFonts w:ascii="Trebuchet MS" w:hAnsi="Trebuchet MS" w:cs="Arial"/>
                          <w:i/>
                          <w:sz w:val="20"/>
                          <w:szCs w:val="20"/>
                          <w:lang w:val="fr-FR"/>
                        </w:rPr>
                        <w:br/>
                        <w:t xml:space="preserve">Tel. : 0031 (0)70 349 11 11 </w:t>
                      </w:r>
                      <w:r w:rsidRPr="00EF78CF">
                        <w:rPr>
                          <w:rFonts w:ascii="Trebuchet MS" w:hAnsi="Trebuchet MS" w:cs="Arial"/>
                          <w:i/>
                          <w:sz w:val="20"/>
                          <w:szCs w:val="20"/>
                          <w:lang w:val="fr-FR"/>
                        </w:rPr>
                        <w:br/>
                        <w:t>Fax : 0031 (0)70 347 57 08 </w:t>
                      </w:r>
                    </w:p>
                    <w:p w14:paraId="0693BB61" w14:textId="77777777" w:rsidR="00105A84" w:rsidRDefault="00105A84" w:rsidP="00EF78CF">
                      <w:pPr>
                        <w:rPr>
                          <w:rFonts w:ascii="Calibri" w:hAnsi="Calibri"/>
                        </w:rPr>
                      </w:pPr>
                    </w:p>
                  </w:txbxContent>
                </v:textbox>
              </v:shape>
            </w:pict>
          </mc:Fallback>
        </mc:AlternateContent>
      </w:r>
      <w:r w:rsidR="00EF78CF">
        <w:rPr>
          <w:rFonts w:ascii="Arial" w:hAnsi="Arial" w:cs="Arial"/>
          <w:i/>
          <w:sz w:val="24"/>
        </w:rPr>
        <w:t xml:space="preserve">  </w:t>
      </w:r>
    </w:p>
    <w:p w14:paraId="0693B732" w14:textId="77777777" w:rsidR="00EF78CF" w:rsidRDefault="00EF78CF" w:rsidP="00EF78CF">
      <w:pPr>
        <w:pStyle w:val="Sansinterligne"/>
        <w:shd w:val="clear" w:color="auto" w:fill="FFFFFF"/>
        <w:jc w:val="both"/>
        <w:rPr>
          <w:rFonts w:ascii="Arial" w:hAnsi="Arial" w:cs="Arial"/>
          <w:i/>
          <w:sz w:val="24"/>
        </w:rPr>
      </w:pPr>
    </w:p>
    <w:p w14:paraId="0693B733" w14:textId="77777777" w:rsidR="00EF78CF" w:rsidRDefault="00EF78CF" w:rsidP="00EF78CF">
      <w:pPr>
        <w:pStyle w:val="Sansinterligne"/>
        <w:shd w:val="clear" w:color="auto" w:fill="FFFFFF"/>
        <w:jc w:val="both"/>
        <w:rPr>
          <w:rFonts w:ascii="Arial" w:hAnsi="Arial" w:cs="Arial"/>
          <w:i/>
          <w:sz w:val="24"/>
        </w:rPr>
      </w:pPr>
    </w:p>
    <w:p w14:paraId="0693B734" w14:textId="77777777" w:rsidR="00EF78CF" w:rsidRDefault="00EF78CF" w:rsidP="00EF78CF">
      <w:pPr>
        <w:pStyle w:val="Sansinterligne"/>
        <w:shd w:val="clear" w:color="auto" w:fill="FFFFFF"/>
        <w:jc w:val="both"/>
        <w:rPr>
          <w:rFonts w:ascii="Arial" w:hAnsi="Arial" w:cs="Arial"/>
          <w:i/>
          <w:sz w:val="24"/>
        </w:rPr>
      </w:pPr>
      <w:r>
        <w:rPr>
          <w:rFonts w:ascii="Arial" w:hAnsi="Arial" w:cs="Arial"/>
          <w:i/>
          <w:sz w:val="24"/>
        </w:rPr>
        <w:t xml:space="preserve"> </w:t>
      </w:r>
    </w:p>
    <w:p w14:paraId="0693B735" w14:textId="77777777" w:rsidR="00EF78CF" w:rsidRDefault="00EF78CF" w:rsidP="00EF78CF">
      <w:pPr>
        <w:pStyle w:val="Sansinterligne"/>
        <w:shd w:val="clear" w:color="auto" w:fill="FFFFFF"/>
        <w:jc w:val="both"/>
        <w:rPr>
          <w:rFonts w:ascii="Arial" w:hAnsi="Arial" w:cs="Arial"/>
          <w:b/>
          <w:i/>
          <w:sz w:val="24"/>
          <w:u w:val="single"/>
        </w:rPr>
      </w:pPr>
    </w:p>
    <w:p w14:paraId="0693B736" w14:textId="77777777" w:rsidR="00EF78CF" w:rsidRDefault="00EF78CF" w:rsidP="00EF78CF">
      <w:pPr>
        <w:pStyle w:val="Titre3"/>
      </w:pPr>
      <w:bookmarkStart w:id="299" w:name="_Toc482815638"/>
      <w:r>
        <w:t>La création de société</w:t>
      </w:r>
      <w:r w:rsidR="009F5FEA">
        <w:t xml:space="preserve"> -</w:t>
      </w:r>
      <w:r>
        <w:t xml:space="preserve"> </w:t>
      </w:r>
      <w:r w:rsidR="009F5FEA">
        <w:t>M</w:t>
      </w:r>
      <w:r>
        <w:t>ode d’emploi</w:t>
      </w:r>
      <w:bookmarkEnd w:id="299"/>
    </w:p>
    <w:p w14:paraId="0693B737" w14:textId="77777777" w:rsidR="00EF78CF" w:rsidRPr="009F5FEA" w:rsidRDefault="00EF78CF" w:rsidP="00EF78CF">
      <w:pPr>
        <w:pStyle w:val="Sansinterligne"/>
        <w:shd w:val="clear" w:color="auto" w:fill="FFFFFF"/>
        <w:jc w:val="both"/>
        <w:rPr>
          <w:rFonts w:cs="Arial"/>
          <w:szCs w:val="20"/>
        </w:rPr>
      </w:pPr>
      <w:r w:rsidRPr="009F5FEA">
        <w:rPr>
          <w:rFonts w:cs="Arial"/>
          <w:szCs w:val="20"/>
        </w:rPr>
        <w:t>En le contexte de cet exposé, nous parlons plus de droits sur la propriété intellectuelle que des procédures que pour créer une société, devenir indépendant, prendre un numéro de TVA que pour produire son œuvre, en l’occurrence, pour ne point s’égarer, nous restons sur notre cible, la protection de l’idée, la protection du droit intellectuel, de l’œuvre, du nom de société, du logo, de la m</w:t>
      </w:r>
      <w:r w:rsidR="009F5FEA">
        <w:rPr>
          <w:rFonts w:cs="Arial"/>
          <w:szCs w:val="20"/>
        </w:rPr>
        <w:t>arque.</w:t>
      </w:r>
      <w:r w:rsidR="007510B5">
        <w:rPr>
          <w:rFonts w:cs="Arial"/>
          <w:szCs w:val="20"/>
        </w:rPr>
        <w:t xml:space="preserve"> </w:t>
      </w:r>
      <w:r w:rsidRPr="009F5FEA">
        <w:rPr>
          <w:rFonts w:cs="Arial"/>
          <w:szCs w:val="20"/>
        </w:rPr>
        <w:t>Cependant</w:t>
      </w:r>
      <w:r w:rsidR="009F5FEA">
        <w:rPr>
          <w:rFonts w:cs="Arial"/>
          <w:szCs w:val="20"/>
        </w:rPr>
        <w:t>…</w:t>
      </w:r>
    </w:p>
    <w:p w14:paraId="0693B738" w14:textId="77777777" w:rsidR="00EF78CF" w:rsidRPr="009F5FEA" w:rsidRDefault="00EF78CF" w:rsidP="00EF78CF">
      <w:pPr>
        <w:pStyle w:val="Sansinterligne"/>
        <w:shd w:val="clear" w:color="auto" w:fill="FFFFFF"/>
        <w:jc w:val="both"/>
        <w:rPr>
          <w:rFonts w:cs="Arial"/>
          <w:szCs w:val="20"/>
        </w:rPr>
      </w:pPr>
    </w:p>
    <w:p w14:paraId="0693B739" w14:textId="77777777" w:rsidR="00EF78CF" w:rsidRPr="009F5FEA" w:rsidRDefault="00EF78CF" w:rsidP="00EF78CF">
      <w:pPr>
        <w:pStyle w:val="Sansinterligne"/>
        <w:shd w:val="clear" w:color="auto" w:fill="FFFFFF"/>
        <w:jc w:val="both"/>
        <w:rPr>
          <w:rFonts w:cs="Arial"/>
          <w:szCs w:val="20"/>
        </w:rPr>
      </w:pPr>
      <w:r w:rsidRPr="009F5FEA">
        <w:rPr>
          <w:rFonts w:cs="Arial"/>
          <w:szCs w:val="20"/>
        </w:rPr>
        <w:t>Pour être tout à fait complet et honnête, oui, il est possible de déposer un nom de société et le faire protéger, chez un notaire par exemple, mais dans quel but.</w:t>
      </w:r>
    </w:p>
    <w:p w14:paraId="0693B73A" w14:textId="77777777" w:rsidR="00EF78CF" w:rsidRPr="009F5FEA" w:rsidRDefault="00EF78CF" w:rsidP="00EF78CF">
      <w:pPr>
        <w:pStyle w:val="Sansinterligne"/>
        <w:shd w:val="clear" w:color="auto" w:fill="FFFFFF"/>
        <w:jc w:val="both"/>
        <w:rPr>
          <w:rFonts w:cs="Arial"/>
          <w:szCs w:val="20"/>
        </w:rPr>
      </w:pPr>
      <w:r w:rsidRPr="009F5FEA">
        <w:rPr>
          <w:rFonts w:cs="Arial"/>
          <w:szCs w:val="20"/>
        </w:rPr>
        <w:t>L’on peut tout de même en déduire qu’un nom de société est lié tout de même toujours à une société.</w:t>
      </w:r>
    </w:p>
    <w:p w14:paraId="0693B73B" w14:textId="77777777" w:rsidR="00EF78CF" w:rsidRPr="009F5FEA" w:rsidRDefault="00EF78CF" w:rsidP="00EF78CF">
      <w:pPr>
        <w:pStyle w:val="Sansinterligne"/>
        <w:shd w:val="clear" w:color="auto" w:fill="FFFFFF"/>
        <w:jc w:val="both"/>
        <w:rPr>
          <w:rFonts w:cs="Arial"/>
          <w:szCs w:val="20"/>
        </w:rPr>
      </w:pPr>
      <w:r w:rsidRPr="009F5FEA">
        <w:rPr>
          <w:rFonts w:cs="Arial"/>
          <w:szCs w:val="20"/>
        </w:rPr>
        <w:t>Cela n’exige cependant pas de formalités particulières.</w:t>
      </w:r>
    </w:p>
    <w:p w14:paraId="0693B73C" w14:textId="77777777" w:rsidR="00EF78CF" w:rsidRPr="009F5FEA" w:rsidRDefault="00EF78CF" w:rsidP="00EF78CF">
      <w:pPr>
        <w:pStyle w:val="Sansinterligne"/>
        <w:shd w:val="clear" w:color="auto" w:fill="FFFFFF"/>
        <w:jc w:val="both"/>
        <w:rPr>
          <w:rFonts w:cs="Arial"/>
          <w:szCs w:val="20"/>
        </w:rPr>
      </w:pPr>
      <w:r w:rsidRPr="009F5FEA">
        <w:rPr>
          <w:rFonts w:cs="Arial"/>
          <w:szCs w:val="20"/>
        </w:rPr>
        <w:t>Il existe tout de même une règle fondamentale, celle de ne pas user d’un nom de société déjà existant.</w:t>
      </w:r>
    </w:p>
    <w:p w14:paraId="0693B73D" w14:textId="77777777" w:rsidR="00EF78CF" w:rsidRPr="009F5FEA" w:rsidRDefault="00EF78CF" w:rsidP="00EF78CF">
      <w:pPr>
        <w:pStyle w:val="Sansinterligne"/>
        <w:shd w:val="clear" w:color="auto" w:fill="FFFFFF"/>
        <w:jc w:val="both"/>
        <w:rPr>
          <w:rFonts w:cs="Arial"/>
          <w:szCs w:val="20"/>
        </w:rPr>
      </w:pPr>
      <w:r w:rsidRPr="009F5FEA">
        <w:rPr>
          <w:rFonts w:cs="Arial"/>
          <w:szCs w:val="20"/>
        </w:rPr>
        <w:t>Le vérifier est assez simple car il suffit préalablement de contrôler via le moniteur voir la banque carrefour des entreprises si ce nom est déjà usité.</w:t>
      </w:r>
    </w:p>
    <w:p w14:paraId="0693B73E" w14:textId="77777777" w:rsidR="00EF78CF" w:rsidRPr="009F5FEA" w:rsidRDefault="00EF78CF" w:rsidP="00EF78CF">
      <w:pPr>
        <w:pStyle w:val="Sansinterligne"/>
        <w:shd w:val="clear" w:color="auto" w:fill="FFFFFF"/>
        <w:jc w:val="both"/>
        <w:rPr>
          <w:rFonts w:cs="Arial"/>
          <w:szCs w:val="20"/>
        </w:rPr>
      </w:pPr>
      <w:r w:rsidRPr="009F5FEA">
        <w:rPr>
          <w:rFonts w:cs="Arial"/>
          <w:szCs w:val="20"/>
        </w:rPr>
        <w:t>Il n’est pas indispensable d’utiliser son nom patronymique mais il est assez essentiel de faire le bon choix qui correspond de près ou de loin à l’activité de l’entreprise.</w:t>
      </w:r>
    </w:p>
    <w:p w14:paraId="0693B73F" w14:textId="77777777" w:rsidR="00EF78CF" w:rsidRPr="009F5FEA" w:rsidRDefault="00EF78CF" w:rsidP="00EF78CF">
      <w:pPr>
        <w:pStyle w:val="Sansinterligne"/>
        <w:shd w:val="clear" w:color="auto" w:fill="FFFFFF"/>
        <w:jc w:val="both"/>
        <w:rPr>
          <w:rFonts w:cs="Arial"/>
          <w:szCs w:val="20"/>
        </w:rPr>
      </w:pPr>
      <w:r w:rsidRPr="009F5FEA">
        <w:rPr>
          <w:rFonts w:cs="Arial"/>
          <w:szCs w:val="20"/>
        </w:rPr>
        <w:t>Réellement, le premier usage de ce nom serait la création de l’entreprise et de facto, la protection contre tiers de pouvoir en user.</w:t>
      </w:r>
    </w:p>
    <w:p w14:paraId="0693B740" w14:textId="77777777" w:rsidR="003F3E97" w:rsidRPr="003F3E97" w:rsidRDefault="003F3E97" w:rsidP="003F3E97">
      <w:pPr>
        <w:pStyle w:val="Titre3"/>
      </w:pPr>
      <w:bookmarkStart w:id="300" w:name="_Toc482815639"/>
      <w:r>
        <w:t>Exemples</w:t>
      </w:r>
      <w:bookmarkEnd w:id="300"/>
    </w:p>
    <w:p w14:paraId="0693B741" w14:textId="77777777" w:rsidR="003F3E97" w:rsidRPr="003F3E97" w:rsidRDefault="003F3E97" w:rsidP="003F3E97">
      <w:pPr>
        <w:pStyle w:val="Titre4"/>
        <w:rPr>
          <w:rFonts w:cs="Georgia"/>
        </w:rPr>
      </w:pPr>
      <w:r w:rsidRPr="003F3E97">
        <w:t>Ice-Watch perd son procès contre Lego</w:t>
      </w:r>
    </w:p>
    <w:p w14:paraId="0693B742" w14:textId="77777777" w:rsidR="003F3E97" w:rsidRPr="003F3E97" w:rsidRDefault="003F3E97" w:rsidP="003F3E97">
      <w:pPr>
        <w:rPr>
          <w:rFonts w:cs="Georgia"/>
          <w:color w:val="262626"/>
          <w:szCs w:val="20"/>
        </w:rPr>
      </w:pPr>
    </w:p>
    <w:p w14:paraId="0693B743" w14:textId="77777777" w:rsidR="003F3E97" w:rsidRPr="003F3E97" w:rsidRDefault="003F3E97" w:rsidP="003F3E97">
      <w:pPr>
        <w:jc w:val="both"/>
        <w:rPr>
          <w:rFonts w:cs="Arial"/>
          <w:color w:val="000000"/>
          <w:szCs w:val="20"/>
        </w:rPr>
      </w:pPr>
      <w:r w:rsidRPr="003F3E97">
        <w:rPr>
          <w:rFonts w:cs="Arial"/>
          <w:color w:val="000000"/>
          <w:szCs w:val="20"/>
        </w:rPr>
        <w:t>A la suite d'une décision de justice, le créateur belge de montres Ice-Watch doit emballer différemment ses produits sous peine d'une astreinte. Selon Lego, la boîte qui contient les montres ressemble trop à un bloc de Lego.</w:t>
      </w:r>
    </w:p>
    <w:p w14:paraId="0693B744" w14:textId="77777777" w:rsidR="003F3E97" w:rsidRPr="003F3E97" w:rsidRDefault="003F3E97" w:rsidP="003F3E97">
      <w:pPr>
        <w:widowControl w:val="0"/>
        <w:autoSpaceDE w:val="0"/>
        <w:autoSpaceDN w:val="0"/>
        <w:adjustRightInd w:val="0"/>
        <w:spacing w:after="360"/>
        <w:jc w:val="both"/>
        <w:rPr>
          <w:rFonts w:cs="Arial"/>
          <w:color w:val="000000"/>
          <w:szCs w:val="20"/>
        </w:rPr>
      </w:pPr>
      <w:r w:rsidRPr="003F3E97">
        <w:rPr>
          <w:rFonts w:cs="Arial"/>
          <w:color w:val="000000"/>
          <w:szCs w:val="20"/>
        </w:rPr>
        <w:t xml:space="preserve">La décision de justice a donné raison à Lego. En effet, les montres « Ice-Watch » sont  dessinées à Bastogne mais produites en Chine. Elles devront changer d'emballage sous peine d'une astreinte de 10.000 euros par jour. Philippe Henroz, responsable marketing de « Ice-watch » confirme que la décision de justice </w:t>
      </w:r>
      <w:r w:rsidRPr="003F3E97">
        <w:rPr>
          <w:rFonts w:cs="Arial"/>
          <w:iCs/>
          <w:color w:val="000000"/>
          <w:szCs w:val="20"/>
        </w:rPr>
        <w:t>va être signifiée”</w:t>
      </w:r>
      <w:r>
        <w:rPr>
          <w:rFonts w:cs="Arial"/>
          <w:color w:val="000000"/>
          <w:szCs w:val="20"/>
        </w:rPr>
        <w:t>.</w:t>
      </w:r>
    </w:p>
    <w:p w14:paraId="0693B745" w14:textId="77777777" w:rsidR="003F3E97" w:rsidRPr="003F3E97" w:rsidRDefault="003F3E97" w:rsidP="003F3E97">
      <w:pPr>
        <w:widowControl w:val="0"/>
        <w:autoSpaceDE w:val="0"/>
        <w:autoSpaceDN w:val="0"/>
        <w:adjustRightInd w:val="0"/>
        <w:spacing w:after="360"/>
        <w:jc w:val="both"/>
        <w:rPr>
          <w:rFonts w:cs="Arial"/>
          <w:color w:val="000000"/>
          <w:szCs w:val="20"/>
        </w:rPr>
      </w:pPr>
      <w:r w:rsidRPr="003F3E97">
        <w:rPr>
          <w:rFonts w:cs="Arial"/>
          <w:color w:val="000000"/>
          <w:szCs w:val="20"/>
        </w:rPr>
        <w:t>Philippe Henroz  a affirmé que seule la nouvelle production des montres « Ice-watch » aura une autre forme d’emballage et les montres déjà produites conserveront leurs place dans les points de vente où elles se trouvent déjà. Selon Lego, le géant danois du jouet, le succès de ces montres serait particulièrement dû à l’emballage en forme de lego. Ainsi, ces montres « Ice-watch » tirerait leur succès de la notoriété des montres lego.</w:t>
      </w:r>
    </w:p>
    <w:p w14:paraId="0693B746" w14:textId="77777777" w:rsidR="003F3E97" w:rsidRPr="003F3E97" w:rsidRDefault="003F3E97" w:rsidP="003F3E97">
      <w:pPr>
        <w:widowControl w:val="0"/>
        <w:autoSpaceDE w:val="0"/>
        <w:autoSpaceDN w:val="0"/>
        <w:adjustRightInd w:val="0"/>
        <w:spacing w:after="360"/>
        <w:jc w:val="both"/>
        <w:rPr>
          <w:rFonts w:cs="Arial"/>
          <w:bCs/>
          <w:color w:val="000000"/>
          <w:szCs w:val="20"/>
        </w:rPr>
      </w:pPr>
      <w:r w:rsidRPr="003F3E97">
        <w:rPr>
          <w:rFonts w:cs="Arial"/>
          <w:color w:val="000000"/>
          <w:szCs w:val="20"/>
        </w:rPr>
        <w:t>Donc, désormais</w:t>
      </w:r>
      <w:r w:rsidRPr="003F3E97">
        <w:rPr>
          <w:rFonts w:cs="Arial"/>
          <w:bCs/>
          <w:color w:val="000000"/>
          <w:szCs w:val="20"/>
        </w:rPr>
        <w:t xml:space="preserve"> le créateur belge de montres « Ice-Watch » doit emballer différemment ses produits vendus dans notre pays et ce, à la suite d'une décision de justice. A défaut du respect de cette décision, la so</w:t>
      </w:r>
      <w:r>
        <w:rPr>
          <w:rFonts w:cs="Arial"/>
          <w:bCs/>
          <w:color w:val="000000"/>
          <w:szCs w:val="20"/>
        </w:rPr>
        <w:t xml:space="preserve">ciété « Ice-Watch » devra payer </w:t>
      </w:r>
      <w:r w:rsidRPr="003F3E97">
        <w:rPr>
          <w:rFonts w:cs="Arial"/>
          <w:bCs/>
          <w:color w:val="000000"/>
          <w:szCs w:val="20"/>
        </w:rPr>
        <w:t>10. 000 euros par jour.</w:t>
      </w:r>
    </w:p>
    <w:p w14:paraId="0693B747" w14:textId="77777777" w:rsidR="003F3E97" w:rsidRPr="003F3E97" w:rsidRDefault="003F3E97" w:rsidP="003F3E97">
      <w:pPr>
        <w:pStyle w:val="Titre4"/>
      </w:pPr>
      <w:r w:rsidRPr="003F3E97">
        <w:rPr>
          <w:rFonts w:ascii="Trebuchet MS" w:hAnsi="Trebuchet MS" w:cs="Arial"/>
          <w:color w:val="000000"/>
          <w:sz w:val="20"/>
          <w:szCs w:val="20"/>
        </w:rPr>
        <w:lastRenderedPageBreak/>
        <w:tab/>
      </w:r>
      <w:r w:rsidRPr="003F3E97">
        <w:t>La formule 1 et ses procès de marque</w:t>
      </w:r>
    </w:p>
    <w:p w14:paraId="0693B748" w14:textId="77777777" w:rsidR="003F3E97" w:rsidRPr="003F3E97" w:rsidRDefault="003F3E97" w:rsidP="003F3E97">
      <w:pPr>
        <w:widowControl w:val="0"/>
        <w:autoSpaceDE w:val="0"/>
        <w:autoSpaceDN w:val="0"/>
        <w:adjustRightInd w:val="0"/>
        <w:jc w:val="both"/>
        <w:rPr>
          <w:rFonts w:cs="Arial"/>
          <w:color w:val="3C3A3B"/>
          <w:szCs w:val="20"/>
        </w:rPr>
      </w:pPr>
    </w:p>
    <w:p w14:paraId="0693B749"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La Cour européenne de Justice, basée au Luxembourg a jugé que la Formula One Licensing (FOL) n’avait pas les droits exclusifs sur la marque F1.</w:t>
      </w:r>
    </w:p>
    <w:p w14:paraId="0693B74A" w14:textId="77777777" w:rsidR="003F3E97" w:rsidRPr="00A846FC" w:rsidRDefault="003F3E97" w:rsidP="003F3E97">
      <w:pPr>
        <w:widowControl w:val="0"/>
        <w:autoSpaceDE w:val="0"/>
        <w:autoSpaceDN w:val="0"/>
        <w:adjustRightInd w:val="0"/>
        <w:jc w:val="both"/>
        <w:rPr>
          <w:rFonts w:cs="Arial"/>
          <w:szCs w:val="20"/>
        </w:rPr>
      </w:pPr>
    </w:p>
    <w:p w14:paraId="0693B74B"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L’origine de la querelle remonte à 2004. Ainsi, la société Racing –Live  avait remporté un défi en 2007/2008 concernant le principe d’utilisation du terme F1 et même F1-Live. </w:t>
      </w:r>
    </w:p>
    <w:p w14:paraId="0693B74C"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La bataille juridique a été forte entre les deux parties et la Formule 1 avait eu récemment recours devant le tribunal de l’Union Européenne pour obtenir gain de cause mais elle ne l’a pas obtenue.</w:t>
      </w:r>
    </w:p>
    <w:p w14:paraId="0693B74D" w14:textId="77777777" w:rsidR="003F3E97" w:rsidRPr="00A846FC" w:rsidRDefault="003F3E97" w:rsidP="003F3E97">
      <w:pPr>
        <w:widowControl w:val="0"/>
        <w:autoSpaceDE w:val="0"/>
        <w:autoSpaceDN w:val="0"/>
        <w:adjustRightInd w:val="0"/>
        <w:jc w:val="both"/>
        <w:rPr>
          <w:rFonts w:cs="Arial"/>
          <w:iCs/>
          <w:szCs w:val="20"/>
        </w:rPr>
      </w:pPr>
      <w:r w:rsidRPr="00A846FC">
        <w:rPr>
          <w:rFonts w:cs="Arial"/>
          <w:szCs w:val="20"/>
        </w:rPr>
        <w:t>Selon le Tribunal, </w:t>
      </w:r>
      <w:r w:rsidRPr="00A846FC">
        <w:rPr>
          <w:rFonts w:cs="Arial"/>
          <w:iCs/>
          <w:szCs w:val="20"/>
        </w:rPr>
        <w:t xml:space="preserve">il n’y a pas de confusion possible avec les marques de Formula One Licensing vu le faible degré de similarité entre les marques et le caractère général que le public attribue aux lettres F1. </w:t>
      </w:r>
    </w:p>
    <w:p w14:paraId="0693B74E" w14:textId="77777777" w:rsidR="003F3E97" w:rsidRPr="00A846FC" w:rsidRDefault="003F3E97" w:rsidP="003F3E97">
      <w:pPr>
        <w:widowControl w:val="0"/>
        <w:autoSpaceDE w:val="0"/>
        <w:autoSpaceDN w:val="0"/>
        <w:adjustRightInd w:val="0"/>
        <w:jc w:val="both"/>
        <w:rPr>
          <w:rFonts w:cs="Arial"/>
          <w:szCs w:val="20"/>
        </w:rPr>
      </w:pPr>
      <w:r w:rsidRPr="00A846FC">
        <w:rPr>
          <w:rFonts w:cs="Arial"/>
          <w:iCs/>
          <w:szCs w:val="20"/>
        </w:rPr>
        <w:t>Donc, Formula One Licensing ne peut pas s’opposer à l’inscription au registre du commerce dans l’Union Européenne d’une marque contenant les mots F1 Live</w:t>
      </w:r>
      <w:r w:rsidRPr="00A846FC">
        <w:rPr>
          <w:rFonts w:cs="Arial"/>
          <w:szCs w:val="20"/>
        </w:rPr>
        <w:t>.</w:t>
      </w:r>
    </w:p>
    <w:p w14:paraId="0693B74F"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Dans le cadre de ses procès de marque, la Formula One Licensing BV (FOL), société gérant la marque F1 dans le monde, a poursuivi la société Speed Drinks PTE (SD). Cette entreprise est basée à Singapour et elle vend une boisson énergisante baptisée Racing F1. Cette boisson a été vendue durant le GP de Singapour l’an dernier. </w:t>
      </w:r>
    </w:p>
    <w:p w14:paraId="0693B750"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La FOL a accusé SD d’utilisation illicite de la marque F1 et de son slogan </w:t>
      </w:r>
      <w:r w:rsidRPr="00A846FC">
        <w:rPr>
          <w:rFonts w:cs="Arial"/>
          <w:iCs/>
          <w:szCs w:val="20"/>
        </w:rPr>
        <w:t>« Start Your Engine »</w:t>
      </w:r>
      <w:r w:rsidRPr="00A846FC">
        <w:rPr>
          <w:rFonts w:cs="Arial"/>
          <w:szCs w:val="20"/>
        </w:rPr>
        <w:t xml:space="preserve">, faisant entendre que la boisson est autorisée et officielle. La Haute Cour d’Appel de Singapour a été saisi de l’affaire. </w:t>
      </w:r>
    </w:p>
    <w:p w14:paraId="0693B751"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Speed Drink est une boisson fabriquée en Hollande et elle est diffusée en Asie mais ses représentants nient toutes malversations. </w:t>
      </w:r>
    </w:p>
    <w:p w14:paraId="0693B752"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Ils prétendent que la marque F1 et le logo appartenait à la société en Hollande et dans les pays où est vendue la boisson et non à l’administration de la Formule 1. </w:t>
      </w:r>
    </w:p>
    <w:p w14:paraId="0693B753" w14:textId="77777777" w:rsidR="003F3E97" w:rsidRPr="00A846FC" w:rsidRDefault="003F3E97" w:rsidP="003F3E97">
      <w:pPr>
        <w:widowControl w:val="0"/>
        <w:autoSpaceDE w:val="0"/>
        <w:autoSpaceDN w:val="0"/>
        <w:adjustRightInd w:val="0"/>
        <w:jc w:val="both"/>
        <w:rPr>
          <w:rFonts w:cs="Arial"/>
          <w:szCs w:val="20"/>
        </w:rPr>
      </w:pPr>
    </w:p>
    <w:p w14:paraId="0693B754"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Alors que, Bernie Ecclestone indique que l’utilisation de la marque F1 par cette boisson était une entrave au développement de sa société, même sur internet.</w:t>
      </w:r>
    </w:p>
    <w:p w14:paraId="0693B755" w14:textId="32EB8576" w:rsidR="003F3E97" w:rsidRPr="00A846FC" w:rsidRDefault="003F3E97" w:rsidP="003F3E97">
      <w:pPr>
        <w:widowControl w:val="0"/>
        <w:autoSpaceDE w:val="0"/>
        <w:autoSpaceDN w:val="0"/>
        <w:adjustRightInd w:val="0"/>
        <w:jc w:val="both"/>
        <w:rPr>
          <w:rFonts w:cs="Arial"/>
          <w:szCs w:val="20"/>
        </w:rPr>
      </w:pPr>
      <w:r w:rsidRPr="00A846FC">
        <w:rPr>
          <w:rFonts w:cs="Arial"/>
          <w:szCs w:val="20"/>
        </w:rPr>
        <w:t xml:space="preserve">Finalement après 24h de négociation, un accord à l’amiable a été trouvé : Speed Drink a accepté de cesser la vente de sa boisson à Singapour et détruire 65.000 canettes et a reconnu que le nom F1 était </w:t>
      </w:r>
      <w:r w:rsidR="00D12868" w:rsidRPr="00A846FC">
        <w:rPr>
          <w:rFonts w:cs="Arial"/>
          <w:szCs w:val="20"/>
        </w:rPr>
        <w:t>détenu</w:t>
      </w:r>
      <w:r w:rsidRPr="00A846FC">
        <w:rPr>
          <w:rFonts w:cs="Arial"/>
          <w:szCs w:val="20"/>
        </w:rPr>
        <w:t xml:space="preserve"> par la FOL. </w:t>
      </w:r>
    </w:p>
    <w:p w14:paraId="0693B756" w14:textId="77777777" w:rsidR="003F3E97" w:rsidRPr="00A846FC" w:rsidRDefault="003F3E97" w:rsidP="003F3E97">
      <w:pPr>
        <w:widowControl w:val="0"/>
        <w:autoSpaceDE w:val="0"/>
        <w:autoSpaceDN w:val="0"/>
        <w:adjustRightInd w:val="0"/>
        <w:jc w:val="both"/>
        <w:rPr>
          <w:rFonts w:cs="Arial"/>
          <w:szCs w:val="20"/>
        </w:rPr>
      </w:pPr>
      <w:r w:rsidRPr="00A846FC">
        <w:rPr>
          <w:rFonts w:cs="Arial"/>
          <w:szCs w:val="20"/>
        </w:rPr>
        <w:t>De son côté la société Formula One Licensing, a accepté de retirer sa plainte.</w:t>
      </w:r>
    </w:p>
    <w:p w14:paraId="0693B75F" w14:textId="5100F2A6" w:rsidR="00653E74" w:rsidRPr="00D12868" w:rsidRDefault="003F3E97" w:rsidP="003F3E97">
      <w:pPr>
        <w:pStyle w:val="StyleDivAprs14pt"/>
        <w:rPr>
          <w:rFonts w:cs="Arial"/>
          <w:color w:val="auto"/>
          <w:sz w:val="20"/>
          <w:lang w:val="fr-BE"/>
        </w:rPr>
      </w:pPr>
      <w:r w:rsidRPr="00A846FC">
        <w:rPr>
          <w:rFonts w:cs="Arial"/>
          <w:color w:val="auto"/>
          <w:sz w:val="20"/>
        </w:rPr>
        <w:t>Donc, Formula One licensing se bat régulièrement pour protéger ses droits d’auteurs.</w:t>
      </w:r>
    </w:p>
    <w:p w14:paraId="0693B760" w14:textId="77777777" w:rsidR="009B00BB" w:rsidRDefault="009B00BB" w:rsidP="00105A84">
      <w:pPr>
        <w:pStyle w:val="Titre2"/>
      </w:pPr>
      <w:bookmarkStart w:id="301" w:name="Offre_conjointe_marque_Travail"/>
      <w:bookmarkStart w:id="302" w:name="Clauses_contractuelles_abusive"/>
      <w:bookmarkStart w:id="303" w:name="Pratique_des_prix_631575053557_581628644"/>
      <w:bookmarkStart w:id="304" w:name="S_ret_s_sp_cifiques_en_mati_re_069535761"/>
      <w:bookmarkStart w:id="305" w:name="_Toc482815640"/>
      <w:bookmarkEnd w:id="301"/>
      <w:bookmarkEnd w:id="302"/>
      <w:bookmarkEnd w:id="303"/>
      <w:bookmarkEnd w:id="304"/>
      <w:r>
        <w:t>Contrefaçon</w:t>
      </w:r>
      <w:bookmarkEnd w:id="305"/>
      <w:r>
        <w:t xml:space="preserve"> </w:t>
      </w:r>
    </w:p>
    <w:p w14:paraId="0693B761" w14:textId="77777777" w:rsidR="009B00BB" w:rsidRDefault="009B00BB" w:rsidP="009B00BB">
      <w:pPr>
        <w:pStyle w:val="StyleAprs14pt"/>
      </w:pPr>
      <w:r>
        <w:t xml:space="preserve">La synthèse qui va suivre a été réalisée et présenté le 19 février 2013 par le groupe de travail suivant : </w:t>
      </w:r>
      <w:r w:rsidRPr="00FA5E82">
        <w:t>AZZOUZ Mansour</w:t>
      </w:r>
      <w:r>
        <w:t xml:space="preserve">, </w:t>
      </w:r>
      <w:r w:rsidRPr="00FA5E82">
        <w:t>GILLES Yvon</w:t>
      </w:r>
      <w:r>
        <w:t xml:space="preserve">, </w:t>
      </w:r>
      <w:r w:rsidRPr="00FA5E82">
        <w:t>IANCOVICI Michel</w:t>
      </w:r>
      <w:r>
        <w:t xml:space="preserve">, </w:t>
      </w:r>
      <w:r w:rsidRPr="00FA5E82">
        <w:t>LAMBION Laura</w:t>
      </w:r>
      <w:r>
        <w:t xml:space="preserve">, </w:t>
      </w:r>
      <w:r w:rsidRPr="00FA5E82">
        <w:t>LOISSEAU Xavier</w:t>
      </w:r>
      <w:r>
        <w:t xml:space="preserve">, </w:t>
      </w:r>
      <w:r w:rsidRPr="00FA5E82">
        <w:t>MASIKA IKOPO Sarah</w:t>
      </w:r>
      <w:r>
        <w:t>.</w:t>
      </w:r>
    </w:p>
    <w:p w14:paraId="0693B762" w14:textId="25E7E81F" w:rsidR="009B00BB" w:rsidRDefault="009B00BB" w:rsidP="009B00BB">
      <w:pPr>
        <w:pStyle w:val="StyleAprs14pt"/>
      </w:pPr>
      <w:r>
        <w:t xml:space="preserve">Voir également les travaux de groupe sur </w:t>
      </w:r>
      <w:r w:rsidR="00B93235">
        <w:t>Chamilo</w:t>
      </w:r>
      <w:r>
        <w:t xml:space="preserve"> / législation et droit commercial / Travaux.</w:t>
      </w:r>
    </w:p>
    <w:p w14:paraId="0693B763" w14:textId="77777777" w:rsidR="00A71C07" w:rsidRDefault="00A71C07" w:rsidP="009B00BB">
      <w:pPr>
        <w:pStyle w:val="StyleAprs14pt"/>
      </w:pPr>
      <w:r>
        <w:t>Référence : DENIS, Philippe, Droit des Affaires, Larcier – Manuels, Belgique, 2012, pp. 73-82.</w:t>
      </w:r>
    </w:p>
    <w:p w14:paraId="0693B764" w14:textId="77777777" w:rsidR="009B00BB" w:rsidRPr="00FA5E82" w:rsidRDefault="009B00BB" w:rsidP="009B00BB">
      <w:pPr>
        <w:pStyle w:val="Titre3"/>
      </w:pPr>
      <w:bookmarkStart w:id="306" w:name="_Toc482815641"/>
      <w:r w:rsidRPr="00FA5E82">
        <w:t>Introduction</w:t>
      </w:r>
      <w:bookmarkEnd w:id="306"/>
    </w:p>
    <w:p w14:paraId="0693B765" w14:textId="77777777" w:rsidR="009B00BB" w:rsidRPr="00FA5E82" w:rsidRDefault="009B00BB" w:rsidP="009B00BB">
      <w:pPr>
        <w:pStyle w:val="StyleAprs14pt"/>
      </w:pPr>
      <w:r w:rsidRPr="00FA5E82">
        <w:t>Le règlement européen nº 1383/2003 définit comme marchandises portant atteinte à un droit de propriété intellectuelle les marchandises de contrefaçon, les marchandises pirates ainsi que toutes les marchandises qui portent atteinte à un brevet, à un certificat de protection, etc.</w:t>
      </w:r>
    </w:p>
    <w:p w14:paraId="0693B766" w14:textId="77777777" w:rsidR="009B00BB" w:rsidRPr="00FA5E82" w:rsidRDefault="009B00BB" w:rsidP="009B00BB">
      <w:pPr>
        <w:pStyle w:val="StyleAprs14pt"/>
      </w:pPr>
      <w:r w:rsidRPr="00FA5E82">
        <w:t>Les marchandises de contrefaçon sont celles sur lesquelles a été apposée sans autorisation une marque ou tout signe de marque comme un logo. Cela inclut les produits eux-mêmes, leurs emballages, les notices d'utilisation, etc.</w:t>
      </w:r>
    </w:p>
    <w:p w14:paraId="0693B767" w14:textId="77777777" w:rsidR="009B00BB" w:rsidRPr="00FA5E82" w:rsidRDefault="009B00BB" w:rsidP="009B00BB">
      <w:pPr>
        <w:pStyle w:val="StyleAprs14pt"/>
      </w:pPr>
      <w:r w:rsidRPr="00FA5E82">
        <w:lastRenderedPageBreak/>
        <w:t>Les marchandises pirates sont celles qui sont ou contiennent des copies fabriquées sans l'autorisation du titulaire d'un droit de propriété intellectuelle. Une copie de sauvegarde à usage strictement privé est toutefois permise en ce qui concerne les CDs audio et dvd.</w:t>
      </w:r>
      <w:r w:rsidRPr="00FA5E82">
        <w:br/>
        <w:t>La contrefaçon représente un risque pour la sécurité du citoyen et menace l'économie nationale, européenne et mondiale.</w:t>
      </w:r>
    </w:p>
    <w:p w14:paraId="0693B768" w14:textId="77777777" w:rsidR="009B00BB" w:rsidRPr="00FA5E82" w:rsidRDefault="009B00BB" w:rsidP="009B00BB">
      <w:pPr>
        <w:pStyle w:val="StyleAprs14pt"/>
      </w:pPr>
      <w:r w:rsidRPr="00FA5E82">
        <w:t>En effet, ces marchandises sont le plus souvent de moins bonne qualité, voire même dangereuses, elles ne dépendent d'aucun contrôle strict à l'opposé des produits originaux qui doivent se soumettre à divers tests avant leur commercialisation.</w:t>
      </w:r>
    </w:p>
    <w:p w14:paraId="0693B769" w14:textId="77777777" w:rsidR="009B00BB" w:rsidRPr="00FA5E82" w:rsidRDefault="009B00BB" w:rsidP="009B00BB">
      <w:pPr>
        <w:pStyle w:val="StyleAprs14pt"/>
      </w:pPr>
      <w:r w:rsidRPr="00FA5E82">
        <w:t>Les entreprises détentrices des droits de propriété intellectuelle sur les marchandises originales subissent aussi de graves conséquences dont une dégradation de leur image de marque et la diminution de leurs revenus, lesquels auraient pu contribuer au maintien de la viabilité de ces industries, à l'approfondissement de leurs recherches, à leur investissement dans de nouveaux projets, etc.</w:t>
      </w:r>
    </w:p>
    <w:p w14:paraId="0693B76A" w14:textId="77777777" w:rsidR="009B00BB" w:rsidRPr="00FA5E82" w:rsidRDefault="009B00BB" w:rsidP="009B00BB">
      <w:pPr>
        <w:pStyle w:val="StyleAprs14pt"/>
      </w:pPr>
      <w:r w:rsidRPr="00FA5E82">
        <w:t>Les bénéfices liés à la contrefaçon sont de plus majoritairement reversés dans des réseaux mafieux qui les utilisent pour renforcer leurs activités illégales.</w:t>
      </w:r>
    </w:p>
    <w:p w14:paraId="0693B76B" w14:textId="77777777" w:rsidR="009B00BB" w:rsidRDefault="009B00BB" w:rsidP="009B00BB">
      <w:pPr>
        <w:pStyle w:val="StyleAprs14pt"/>
      </w:pPr>
      <w:r>
        <w:t>D</w:t>
      </w:r>
      <w:r w:rsidRPr="00FA5E82">
        <w:t>ivers règlements et lois ont donc été votés au niveau national et européen pour combattre la contrefaçon, ce travail présentera les plus importantes sources de droit concernant ce sujet ainsi que des exemples concrets pour mieux comprendre l'étendue du problème.</w:t>
      </w:r>
    </w:p>
    <w:p w14:paraId="0693B76C" w14:textId="77777777" w:rsidR="009B00BB" w:rsidRPr="001F7D23" w:rsidRDefault="009B00BB" w:rsidP="009B00BB">
      <w:pPr>
        <w:pStyle w:val="Titre3"/>
      </w:pPr>
      <w:bookmarkStart w:id="307" w:name="_Toc482815642"/>
      <w:r>
        <w:t>Sources de droit</w:t>
      </w:r>
      <w:bookmarkEnd w:id="307"/>
    </w:p>
    <w:p w14:paraId="0693B76D" w14:textId="77777777" w:rsidR="009B00BB" w:rsidRDefault="009B00BB" w:rsidP="009B00BB">
      <w:pPr>
        <w:pStyle w:val="Titre4"/>
      </w:pPr>
      <w:r w:rsidRPr="001F7D23">
        <w:t>Loi du 1er avril 1879</w:t>
      </w:r>
    </w:p>
    <w:p w14:paraId="0693B76E" w14:textId="77777777" w:rsidR="009B00BB" w:rsidRPr="001F7D23" w:rsidRDefault="009B00BB" w:rsidP="009B00BB">
      <w:r>
        <w:t>Elle</w:t>
      </w:r>
      <w:r w:rsidRPr="001F7D23">
        <w:t xml:space="preserve"> con</w:t>
      </w:r>
      <w:r>
        <w:t xml:space="preserve">cerne les marques de fabrique </w:t>
      </w:r>
      <w:r w:rsidRPr="001F7D23">
        <w:t>et de commerce (mise à jour au 1er avril 1974)</w:t>
      </w:r>
      <w:r>
        <w:t>.</w:t>
      </w:r>
    </w:p>
    <w:p w14:paraId="0693B76F" w14:textId="77777777" w:rsidR="009B00BB" w:rsidRDefault="009B00BB" w:rsidP="009B00BB">
      <w:pPr>
        <w:pStyle w:val="StyleAprs14pt"/>
      </w:pPr>
      <w:r w:rsidRPr="001F7D23">
        <w:t>Il s'agit de la première loi belge qui ait traité de la matière, elle prévoyait des sanctions d'emprisonnement et des amendes contre les contrefacteurs ou leurs complices directs. Les marchandises contrefaites ou les objets ayant servi à leur production pouvaient être confisqués et être adjugés aux plaignants, c'est-à-dire que ces derniers pouvaient en devenir les propriétaires.</w:t>
      </w:r>
    </w:p>
    <w:p w14:paraId="0693B770" w14:textId="77777777" w:rsidR="009B00BB" w:rsidRDefault="009B00BB" w:rsidP="009B00BB">
      <w:pPr>
        <w:pStyle w:val="Titre4"/>
      </w:pPr>
      <w:r w:rsidRPr="001F7D23">
        <w:t>Loi portant approbation de la Convention Benelux</w:t>
      </w:r>
    </w:p>
    <w:p w14:paraId="0693B771" w14:textId="77777777" w:rsidR="009B00BB" w:rsidRPr="001F7D23" w:rsidRDefault="009B00BB" w:rsidP="009B00BB">
      <w:pPr>
        <w:rPr>
          <w:szCs w:val="20"/>
        </w:rPr>
      </w:pPr>
      <w:r>
        <w:t>Cette loi traite</w:t>
      </w:r>
      <w:r w:rsidRPr="001F7D23">
        <w:t xml:space="preserve"> de</w:t>
      </w:r>
      <w:r>
        <w:t>s</w:t>
      </w:r>
      <w:r w:rsidRPr="001F7D23">
        <w:t xml:space="preserve"> marques de produits, et annexe</w:t>
      </w:r>
      <w:r>
        <w:t>s</w:t>
      </w:r>
      <w:r w:rsidRPr="001F7D23">
        <w:t>, signées à Bruxelles le 19 mars 1962 (du 30 juin 1969)</w:t>
      </w:r>
      <w:r>
        <w:t>.</w:t>
      </w:r>
      <w:r w:rsidRPr="001F7D23">
        <w:br/>
      </w:r>
      <w:r w:rsidRPr="001F7D23">
        <w:rPr>
          <w:szCs w:val="20"/>
        </w:rPr>
        <w:t>Cette loi abroge plusieurs articles de la loi du 1er avril 1879 mais elle précise surtout que les articles restant sont applicables tant aux marques collectives de produits qu'aux marques individuelles de produits.</w:t>
      </w:r>
    </w:p>
    <w:p w14:paraId="0693B772" w14:textId="77777777" w:rsidR="009B00BB" w:rsidRDefault="009B00BB" w:rsidP="009B00BB">
      <w:pPr>
        <w:pStyle w:val="Titre4"/>
      </w:pPr>
      <w:r w:rsidRPr="001F7D23">
        <w:t>Loi portant approbation du Protocole</w:t>
      </w:r>
    </w:p>
    <w:p w14:paraId="0693B773" w14:textId="77777777" w:rsidR="009B00BB" w:rsidRPr="001F7D23" w:rsidRDefault="009B00BB" w:rsidP="009B00BB">
      <w:r>
        <w:t>S</w:t>
      </w:r>
      <w:r w:rsidRPr="001F7D23">
        <w:t>igné à Bruxelles le 10 novembre 1983, portant modification de la Loi uniforme Benelux annexée à la Convention Benelux en matière de marques et de produits du 19 mars 1962</w:t>
      </w:r>
      <w:r>
        <w:t>.</w:t>
      </w:r>
    </w:p>
    <w:p w14:paraId="0693B774" w14:textId="77777777" w:rsidR="009B00BB" w:rsidRPr="001F7D23" w:rsidRDefault="009B00BB" w:rsidP="009B00BB">
      <w:pPr>
        <w:pStyle w:val="StyleAprs14pt"/>
      </w:pPr>
      <w:r w:rsidRPr="001F7D23">
        <w:t>Ici encore il est question d'abroger et de modifier des articles de la loi du 1er avril 1879, notamment en y ajoutant la notion de marques de services aux côtés des marques de produits. Il s'agit de modifications liées à une précédente loi, celle du 19 mars 1962 qui transposait la loi du 1er avril 1879 au niveau de la Convention Benelux, Convention qui regroupait la Belgique, les Pays-Bas et le Luxembourg.</w:t>
      </w:r>
    </w:p>
    <w:p w14:paraId="0693B775" w14:textId="77777777" w:rsidR="009B00BB" w:rsidRDefault="009B00BB" w:rsidP="009B00BB">
      <w:pPr>
        <w:pStyle w:val="Titre4"/>
      </w:pPr>
      <w:r w:rsidRPr="001F7D23">
        <w:lastRenderedPageBreak/>
        <w:t xml:space="preserve">Règlement (CE) nº 1383/2003 du Conseil du 22 juillet 2003 </w:t>
      </w:r>
    </w:p>
    <w:p w14:paraId="0693B776" w14:textId="77777777" w:rsidR="009B00BB" w:rsidRPr="001F7D23" w:rsidRDefault="009B00BB" w:rsidP="009B00BB">
      <w:r>
        <w:t xml:space="preserve">Il </w:t>
      </w:r>
      <w:r w:rsidRPr="001F7D23">
        <w:t>concern</w:t>
      </w:r>
      <w:r>
        <w:t>e</w:t>
      </w:r>
      <w:r w:rsidRPr="001F7D23">
        <w:t xml:space="preserve"> l'intervention des autorités douanières à l'égard de marchandises soupçonnées de porter atteinte à certains droits de propriété intellectuelle ainsi que les mesures à prendre à l'égard de marchandises portant atteinte à certains droits de propriété intellectuelle</w:t>
      </w:r>
    </w:p>
    <w:p w14:paraId="0693B777" w14:textId="77777777" w:rsidR="009B00BB" w:rsidRPr="001F7D23" w:rsidRDefault="009B00BB" w:rsidP="009B00BB">
      <w:pPr>
        <w:pStyle w:val="StyleAprs14pt"/>
      </w:pPr>
      <w:r w:rsidRPr="001F7D23">
        <w:t>Cet acte normatif directement applicable dans tous les États membres définit les notions liées à la contrefaçon comme les marchandises de contrefaçon et les marchandises pirates, il étend le champ d'application des textes légaux à d'autres types de droits de propriété intellectuelle comme les appellations d'origine, il simplifie les procédures pour que les autorités douanières interviennent et permet à celles-ci d'améliorer leurs contrôles, le tout au niveau européen.</w:t>
      </w:r>
    </w:p>
    <w:p w14:paraId="0693B778" w14:textId="77777777" w:rsidR="009B00BB" w:rsidRPr="001F7D23" w:rsidRDefault="009B00BB" w:rsidP="009B00BB">
      <w:pPr>
        <w:pStyle w:val="StyleAprs14pt"/>
      </w:pPr>
      <w:r w:rsidRPr="001F7D23">
        <w:t>Ce règlement facilite les mesures déjà traitées au niveau des douanes européennes dans le règlement nº 2913/92 du Conseil du 12 octobre 1992 établissant le code des douanes communautaire, lequel règlement a aussi subi des modifications par le règlement nº 414/2009 de la Commission du 30 avril 2009 modifiant le règlement 2454/93 fixant certaines dispositions d'application du règlement nº 2913/92 du Conseil établissant le code des douanes communautaire.</w:t>
      </w:r>
    </w:p>
    <w:p w14:paraId="0693B779" w14:textId="77777777" w:rsidR="009B00BB" w:rsidRPr="001F7D23" w:rsidRDefault="009B00BB" w:rsidP="009B00BB">
      <w:pPr>
        <w:pStyle w:val="StyleAprs14pt"/>
      </w:pPr>
      <w:r w:rsidRPr="001F7D23">
        <w:t>Il interdit notamment l'introduction de marchandises pirates et de contrefaçon sur le territoire européen et prévoit que chaque État membre prenne des mesures nécessaires pour confisquer et détruire ces objets illicites.</w:t>
      </w:r>
    </w:p>
    <w:p w14:paraId="0693B77A" w14:textId="77777777" w:rsidR="009B00BB" w:rsidRDefault="009B00BB" w:rsidP="009B00BB">
      <w:pPr>
        <w:pStyle w:val="Titre4"/>
      </w:pPr>
      <w:r>
        <w:t xml:space="preserve">Loi du </w:t>
      </w:r>
      <w:r w:rsidRPr="001F7D23">
        <w:t>22 mars 2006</w:t>
      </w:r>
    </w:p>
    <w:p w14:paraId="0693B77B" w14:textId="77777777" w:rsidR="009B00BB" w:rsidRPr="001F7D23" w:rsidRDefault="009B00BB" w:rsidP="009B00BB">
      <w:r w:rsidRPr="001F7D23">
        <w:t>Loi portant assentiment à la Convention Benelux en matière de propriété intellectuelle (marque et dessins ou modèles), fait à La Haye le 25 février 2005</w:t>
      </w:r>
    </w:p>
    <w:p w14:paraId="0693B77C" w14:textId="77777777" w:rsidR="00951179" w:rsidRDefault="009B00BB" w:rsidP="009B00BB">
      <w:pPr>
        <w:pStyle w:val="StyleAprs14pt"/>
      </w:pPr>
      <w:r w:rsidRPr="001F7D23">
        <w:t>Cette loi abroge la loi portant approbation du Protocole, signée à Bruxelles le 10 novembre 1983, portant modification de la Loi uniforme Benelux annexée à la Convention Benelux en matière de marques et de produits du 19 mars 1962 et la loi portant approbation de la Convention Benelux en matière de marques de produits, et annexe, signées à Bruxelles le 19 mars 1963 (du 30 juin 1969).</w:t>
      </w:r>
    </w:p>
    <w:p w14:paraId="0693B77D" w14:textId="77777777" w:rsidR="009B00BB" w:rsidRPr="001F7D23" w:rsidRDefault="009B00BB" w:rsidP="009B00BB">
      <w:pPr>
        <w:pStyle w:val="StyleAprs14pt"/>
      </w:pPr>
      <w:r w:rsidRPr="001F7D23">
        <w:t>Elle redéfinit plus clairement encore les mesures acceptées par les membres du Benelux quant à la protection de la propriété intellectuelle sur leur territoire.</w:t>
      </w:r>
    </w:p>
    <w:p w14:paraId="0693B77E" w14:textId="77777777" w:rsidR="009B00BB" w:rsidRDefault="009B00BB" w:rsidP="009B00BB">
      <w:pPr>
        <w:pStyle w:val="Titre4"/>
      </w:pPr>
      <w:r>
        <w:t xml:space="preserve">Loi du </w:t>
      </w:r>
      <w:r w:rsidRPr="001F7D23">
        <w:t>15 mai 2007</w:t>
      </w:r>
    </w:p>
    <w:p w14:paraId="0693B77F" w14:textId="77777777" w:rsidR="009B00BB" w:rsidRPr="001F7D23" w:rsidRDefault="009B00BB" w:rsidP="009B00BB">
      <w:r w:rsidRPr="001F7D23">
        <w:t>Loi relative à la répression de la contrefaçon et de la piraterie de droits de propriété intellectuelle (mise à jour 25 février 2011)</w:t>
      </w:r>
      <w:r>
        <w:t>.</w:t>
      </w:r>
    </w:p>
    <w:p w14:paraId="0693B780" w14:textId="77777777" w:rsidR="009B00BB" w:rsidRPr="001F7D23" w:rsidRDefault="009B00BB" w:rsidP="009B00BB">
      <w:pPr>
        <w:pStyle w:val="StyleAprs14pt"/>
      </w:pPr>
      <w:r w:rsidRPr="001F7D23">
        <w:t>Modifié par la loi du 10 janvier 2011 – Loi sur la protection des obtentions végétales et par la loi du 28 avril 2010 – Loi portant des dispositions diverses, ce texte légal abroge la loi du 1er avril 1879 concernant les marques de fabrique et de commerce (mise à jour au 1er avril 1974).</w:t>
      </w:r>
    </w:p>
    <w:p w14:paraId="0693B781" w14:textId="77777777" w:rsidR="009B00BB" w:rsidRPr="001F7D23" w:rsidRDefault="009B00BB" w:rsidP="009B00BB">
      <w:pPr>
        <w:pStyle w:val="StyleAprs14pt"/>
      </w:pPr>
      <w:r w:rsidRPr="001F7D23">
        <w:t>Il donne des directives claires concernant l'application du règlement nº 1383/2003 du Conseil du 22 juillet 2003 concernant l'intervention des autorités douanières à l'égard de marchandises soupçonnées de porter atteinte à certains droits de propriété intellectuelle ainsi que les mesures à prendre à l'égard de marchandises portant atteinte à certains droits de propriété intellectuelle.</w:t>
      </w:r>
    </w:p>
    <w:p w14:paraId="0693B782" w14:textId="77777777" w:rsidR="009B00BB" w:rsidRPr="001F7D23" w:rsidRDefault="009B00BB" w:rsidP="009B00BB">
      <w:pPr>
        <w:pStyle w:val="StyleAprs14pt"/>
      </w:pPr>
      <w:r w:rsidRPr="001F7D23">
        <w:t>La loi du 15 mai 2007 permet de poursuivre les infractions selon les dispositions prévues par la loi du 18 juillet 1977 – Loi générale sur les douanes et accises (mise à jour 6 Mai 2011) et instaure une nouvelle incrimination pénale.</w:t>
      </w:r>
    </w:p>
    <w:p w14:paraId="0693B783" w14:textId="77777777" w:rsidR="009B00BB" w:rsidRDefault="009B00BB" w:rsidP="009B00BB">
      <w:pPr>
        <w:pStyle w:val="StyleAprs14pt"/>
      </w:pPr>
      <w:r w:rsidRPr="001F7D23">
        <w:t>Le ministère public peut désormais déposer une plainte sans la participation des titulaires de droits lésés et les peines sont aggravées : de 3 mois à 3 ans d'emprisonnement et de 100,00€ à 100.000,00€ d'amende (à multiplier par les décimes additionnels, soit 550.000,00€).</w:t>
      </w:r>
    </w:p>
    <w:p w14:paraId="0693B784" w14:textId="77777777" w:rsidR="009B00BB" w:rsidRPr="00E573E9" w:rsidRDefault="009B00BB" w:rsidP="009B00BB">
      <w:pPr>
        <w:pStyle w:val="Titre3"/>
      </w:pPr>
      <w:bookmarkStart w:id="308" w:name="_Toc482815643"/>
      <w:r>
        <w:lastRenderedPageBreak/>
        <w:t>Exemples</w:t>
      </w:r>
      <w:bookmarkEnd w:id="308"/>
    </w:p>
    <w:p w14:paraId="0693B785" w14:textId="77777777" w:rsidR="009B00BB" w:rsidRPr="00E573E9" w:rsidRDefault="009B00BB" w:rsidP="009B00BB">
      <w:pPr>
        <w:pStyle w:val="StyleAprs14pt"/>
      </w:pPr>
      <w:r w:rsidRPr="00E573E9">
        <w:t>Les violations de droits de propriété intellectuelle sont multiples, variées et très présentes dans notre société.</w:t>
      </w:r>
    </w:p>
    <w:p w14:paraId="0693B786" w14:textId="77777777" w:rsidR="009B00BB" w:rsidRPr="00E573E9" w:rsidRDefault="009B00BB" w:rsidP="009B00BB">
      <w:pPr>
        <w:pStyle w:val="StyleAprs14pt"/>
      </w:pPr>
      <w:r w:rsidRPr="00E573E9">
        <w:t>Quotidiennement un nombre incalculable de copies de marchandises sont produites, énormément des logos et de noms de marques diverses sont utilisées, le tout sans l'autorisation de leurs propriétaires respectif.</w:t>
      </w:r>
    </w:p>
    <w:p w14:paraId="0693B787" w14:textId="77777777" w:rsidR="009B00BB" w:rsidRPr="00E573E9" w:rsidRDefault="009B00BB" w:rsidP="009B00BB">
      <w:pPr>
        <w:pStyle w:val="StyleAprs14pt"/>
      </w:pPr>
      <w:r w:rsidRPr="00E573E9">
        <w:t>Tous les secteurs sont touchés, divers exemples en témoignent :</w:t>
      </w:r>
    </w:p>
    <w:p w14:paraId="0693B788" w14:textId="77777777" w:rsidR="009B00BB" w:rsidRDefault="009B00BB" w:rsidP="009B00BB">
      <w:pPr>
        <w:pStyle w:val="StyleAprs14pt"/>
        <w:numPr>
          <w:ilvl w:val="0"/>
          <w:numId w:val="55"/>
        </w:numPr>
        <w:spacing w:after="0"/>
      </w:pPr>
      <w:r w:rsidRPr="00E573E9">
        <w:t>Le téléchargement de films, musiques, programmes informatiques, etc., sur internet sans le consentement des titulaires de droit.</w:t>
      </w:r>
    </w:p>
    <w:p w14:paraId="0693B789" w14:textId="77777777" w:rsidR="009B00BB" w:rsidRPr="00E573E9" w:rsidRDefault="009B00BB" w:rsidP="009B00BB">
      <w:pPr>
        <w:pStyle w:val="StyleAprs14pt"/>
        <w:numPr>
          <w:ilvl w:val="0"/>
          <w:numId w:val="55"/>
        </w:numPr>
        <w:spacing w:after="0"/>
      </w:pPr>
      <w:r w:rsidRPr="00E573E9">
        <w:t>Les photocopies de livres, les copies de CDs, dvd, etc.</w:t>
      </w:r>
    </w:p>
    <w:p w14:paraId="0693B78A" w14:textId="77777777" w:rsidR="009B00BB" w:rsidRPr="00E573E9" w:rsidRDefault="009B00BB" w:rsidP="009B00BB">
      <w:pPr>
        <w:pStyle w:val="StyleAprs14pt"/>
        <w:numPr>
          <w:ilvl w:val="0"/>
          <w:numId w:val="55"/>
        </w:numPr>
        <w:spacing w:after="0"/>
      </w:pPr>
      <w:r w:rsidRPr="00E573E9">
        <w:t>Les vêtements, lunettes et parfums de luxe.</w:t>
      </w:r>
    </w:p>
    <w:p w14:paraId="0693B78B" w14:textId="77777777" w:rsidR="009B00BB" w:rsidRPr="00E573E9" w:rsidRDefault="009B00BB" w:rsidP="009B00BB">
      <w:pPr>
        <w:pStyle w:val="StyleAprs14pt"/>
        <w:numPr>
          <w:ilvl w:val="0"/>
          <w:numId w:val="55"/>
        </w:numPr>
        <w:spacing w:after="0"/>
      </w:pPr>
      <w:r w:rsidRPr="00E573E9">
        <w:t>L'alcool et les cigarettes.</w:t>
      </w:r>
    </w:p>
    <w:p w14:paraId="0693B78C" w14:textId="77777777" w:rsidR="009B00BB" w:rsidRPr="00E573E9" w:rsidRDefault="009B00BB" w:rsidP="009B00BB">
      <w:pPr>
        <w:pStyle w:val="StyleAprs14pt"/>
        <w:numPr>
          <w:ilvl w:val="0"/>
          <w:numId w:val="55"/>
        </w:numPr>
        <w:spacing w:after="0"/>
      </w:pPr>
      <w:r w:rsidRPr="00E573E9">
        <w:t>Les médicaments.</w:t>
      </w:r>
    </w:p>
    <w:p w14:paraId="0693B78D" w14:textId="77777777" w:rsidR="009B00BB" w:rsidRPr="00E573E9" w:rsidRDefault="009B00BB" w:rsidP="009B00BB">
      <w:pPr>
        <w:pStyle w:val="StyleAprs14pt"/>
        <w:numPr>
          <w:ilvl w:val="0"/>
          <w:numId w:val="55"/>
        </w:numPr>
        <w:spacing w:after="0"/>
      </w:pPr>
      <w:r w:rsidRPr="00E573E9">
        <w:t>Les jouets, les téléphones portables et le matériel informatique.</w:t>
      </w:r>
    </w:p>
    <w:p w14:paraId="0693B78E" w14:textId="77777777" w:rsidR="009B00BB" w:rsidRPr="00E573E9" w:rsidRDefault="009B00BB" w:rsidP="009B00BB">
      <w:pPr>
        <w:pStyle w:val="StyleAprs14pt"/>
        <w:numPr>
          <w:ilvl w:val="0"/>
          <w:numId w:val="55"/>
        </w:numPr>
        <w:spacing w:after="0"/>
      </w:pPr>
      <w:r w:rsidRPr="00E573E9">
        <w:t>Les pièces automobiles</w:t>
      </w:r>
      <w:r w:rsidR="00951179">
        <w:t xml:space="preserve"> et autres</w:t>
      </w:r>
      <w:r w:rsidRPr="00E573E9">
        <w:t>.</w:t>
      </w:r>
    </w:p>
    <w:p w14:paraId="0693B78F" w14:textId="77777777" w:rsidR="009B00BB" w:rsidRPr="00E573E9" w:rsidRDefault="009B00BB" w:rsidP="009B00BB">
      <w:pPr>
        <w:pStyle w:val="StyleAprs14pt"/>
        <w:numPr>
          <w:ilvl w:val="0"/>
          <w:numId w:val="55"/>
        </w:numPr>
        <w:spacing w:after="0"/>
      </w:pPr>
      <w:r w:rsidRPr="00E573E9">
        <w:t>Les billets de banque.</w:t>
      </w:r>
    </w:p>
    <w:p w14:paraId="0693B790" w14:textId="77777777" w:rsidR="009B00BB" w:rsidRPr="00E573E9" w:rsidRDefault="009B00BB" w:rsidP="009B00BB">
      <w:pPr>
        <w:pStyle w:val="StyleAprs14pt"/>
        <w:spacing w:before="240"/>
      </w:pPr>
      <w:r w:rsidRPr="00E573E9">
        <w:t>Cette liste n'est absolument pas exhaustive et ne fait que grandir au fil du temps.</w:t>
      </w:r>
      <w:r w:rsidRPr="00E573E9">
        <w:br/>
        <w:t>Les produits de contrefaçon sont parfois difficilement détectables, pourtant il y a plusieurs indices permettant de les différencier des marchandises originales comme leur prix trop attractif, leur vente effectuée à la sauvette, des erreurs dans le nom de leur marque, un logo grossièrement imité ou une qualité médiocre.</w:t>
      </w:r>
    </w:p>
    <w:p w14:paraId="0693B791" w14:textId="77777777" w:rsidR="009B00BB" w:rsidRPr="00E573E9" w:rsidRDefault="009B00BB" w:rsidP="009B00BB">
      <w:pPr>
        <w:pStyle w:val="Titre3"/>
      </w:pPr>
      <w:bookmarkStart w:id="309" w:name="_Toc482815644"/>
      <w:r>
        <w:t>Conclusion</w:t>
      </w:r>
      <w:bookmarkEnd w:id="309"/>
    </w:p>
    <w:p w14:paraId="0693B792" w14:textId="77777777" w:rsidR="009B00BB" w:rsidRPr="00E573E9" w:rsidRDefault="009B00BB" w:rsidP="009B00BB">
      <w:pPr>
        <w:pStyle w:val="StyleAprs14pt"/>
      </w:pPr>
      <w:r w:rsidRPr="00E573E9">
        <w:t xml:space="preserve">La contrefaçon n'est pas seulement une forme de concurrence déloyale néfaste pour les entreprises, elle met aussi en péril toute l'économie mondiale. La réduction du bénéfice des industries peut avoir pour effet l'augmentation du chômage, du travail des enfants et du pouvoir des groupes mafieux.  </w:t>
      </w:r>
    </w:p>
    <w:p w14:paraId="0693B793" w14:textId="77777777" w:rsidR="009B00BB" w:rsidRPr="00E573E9" w:rsidRDefault="009B00BB" w:rsidP="009B00BB">
      <w:pPr>
        <w:pStyle w:val="StyleAprs14pt"/>
      </w:pPr>
      <w:r w:rsidRPr="00E573E9">
        <w:t xml:space="preserve">De par l'industrialisation et la mondialisation, elle est en constante expansion ce qui augmente les risques encourus par toutes les personnes formant notre société. </w:t>
      </w:r>
    </w:p>
    <w:p w14:paraId="0693B794" w14:textId="77777777" w:rsidR="009B00BB" w:rsidRPr="00E573E9" w:rsidRDefault="009B00BB" w:rsidP="009B00BB">
      <w:pPr>
        <w:pStyle w:val="StyleAprs14pt"/>
      </w:pPr>
      <w:r w:rsidRPr="00E573E9">
        <w:t>En effet, la copie frauduleuse d'un médicament, d'un jouet, de plaques de frein ou de lunettes de soleil, constitue une réelle menace pour le consommateur car aucun de ces produits ne répond ni aux exigences ni aux normes de sécurité exigées par la Belgique ou l'Europe.</w:t>
      </w:r>
    </w:p>
    <w:p w14:paraId="0693B795" w14:textId="77777777" w:rsidR="009B00BB" w:rsidRPr="00E573E9" w:rsidRDefault="009B00BB" w:rsidP="009B00BB">
      <w:pPr>
        <w:pStyle w:val="StyleAprs14pt"/>
      </w:pPr>
      <w:r w:rsidRPr="00E573E9">
        <w:t>L'acheteur croyant faire une bonne affaire risque de payer cher les conséquences de son achat illégal, non seulement il met en péril sa propre santé et celle de son entourage en achetant un produit de moins bonne qualité, voire dangereux, mais il s'expose à de très lourdes peines. Aussi, en cas de défaillance du produit il ne bénéficie d'aucune garantie.</w:t>
      </w:r>
    </w:p>
    <w:p w14:paraId="0693B796" w14:textId="77777777" w:rsidR="009B00BB" w:rsidRDefault="009B00BB" w:rsidP="009B00BB">
      <w:pPr>
        <w:pStyle w:val="StyleAprs14pt"/>
      </w:pPr>
      <w:r w:rsidRPr="00E573E9">
        <w:t>Internet a multiplié les différents types de contrefaçon et les a rendus plus accessibles, plus rapidement et au niveau mondial.</w:t>
      </w:r>
    </w:p>
    <w:p w14:paraId="0693B797" w14:textId="77777777" w:rsidR="009B00BB" w:rsidRPr="00E573E9" w:rsidRDefault="009B00BB" w:rsidP="009B00BB">
      <w:pPr>
        <w:pStyle w:val="StyleAprs14pt"/>
      </w:pPr>
      <w:r w:rsidRPr="00E573E9">
        <w:t>Les produits de luxe ne sont plus les uniques proies des contrefacteurs, des répliques de vins ou de moules de marque sont produites et distribuées dans le monde entier d'où la nécessité pour les États de produire de nouvelles lois pour combattre toutes les nouvelles formes d'atteinte aux droits de propriété intellectuelle.</w:t>
      </w:r>
    </w:p>
    <w:p w14:paraId="0693B798" w14:textId="77777777" w:rsidR="009B00BB" w:rsidRDefault="009B00BB" w:rsidP="009B00BB">
      <w:pPr>
        <w:pStyle w:val="StyleAprs14pt"/>
      </w:pPr>
      <w:r w:rsidRPr="00E573E9">
        <w:lastRenderedPageBreak/>
        <w:t>Les problèmes liés à la contrefaçon ont atteint une telle ampleur qu'elle a des répercussions sur chaque personne, chaque entreprise, chaque État du monde.</w:t>
      </w:r>
    </w:p>
    <w:p w14:paraId="0693B799" w14:textId="77777777" w:rsidR="009B00BB" w:rsidRPr="009D297D" w:rsidRDefault="009B00BB" w:rsidP="009B00BB">
      <w:pPr>
        <w:pStyle w:val="StyleAprs14pt"/>
      </w:pPr>
      <w:r w:rsidRPr="00E573E9">
        <w:t>Qu'il soit question d'éthique, de dangers économiques et sociaux ou de menaces à la santé, la violation des droits de propriété intellectuelle doit continuer à être fortement combattue par les représentants judiciaires mais aussi par les consommateurs pour leurs propres intérêts.</w:t>
      </w:r>
    </w:p>
    <w:p w14:paraId="0693B79A" w14:textId="77777777" w:rsidR="004C64BF" w:rsidRDefault="004C64BF" w:rsidP="00266865">
      <w:pPr>
        <w:pStyle w:val="Titre1"/>
      </w:pPr>
      <w:bookmarkStart w:id="310" w:name="_Toc482815645"/>
      <w:r>
        <w:lastRenderedPageBreak/>
        <w:t>Sûretés spécifiques en matière commerciale</w:t>
      </w:r>
      <w:bookmarkEnd w:id="310"/>
      <w:r>
        <w:t xml:space="preserve"> </w:t>
      </w:r>
    </w:p>
    <w:p w14:paraId="0693B79B" w14:textId="77777777" w:rsidR="00884529" w:rsidRDefault="00884529" w:rsidP="0005457C">
      <w:pPr>
        <w:pStyle w:val="StyleDivAprs14pt"/>
        <w:rPr>
          <w:lang w:val="fr-BE"/>
        </w:rPr>
      </w:pPr>
      <w:bookmarkStart w:id="311" w:name="OLE_LINK1"/>
      <w:bookmarkEnd w:id="311"/>
    </w:p>
    <w:p w14:paraId="0693B79C" w14:textId="77777777" w:rsidR="004C64BF" w:rsidRDefault="004C64BF" w:rsidP="0005457C">
      <w:pPr>
        <w:pStyle w:val="StyleDivAprs14pt"/>
      </w:pPr>
      <w:r>
        <w:t xml:space="preserve">Gage commercial, gage sur fonds de commerce, warrants, etc.: voir la matière sur les crédits, dans la partie relative aux garanties. </w:t>
      </w:r>
    </w:p>
    <w:p w14:paraId="0693B79D" w14:textId="77777777" w:rsidR="004C64BF" w:rsidRDefault="004C64BF" w:rsidP="004C64BF">
      <w:pPr>
        <w:rPr>
          <w:sz w:val="24"/>
        </w:rPr>
      </w:pPr>
      <w:r>
        <w:rPr>
          <w:sz w:val="24"/>
        </w:rPr>
        <w:br/>
      </w:r>
    </w:p>
    <w:p w14:paraId="0693B79E" w14:textId="77777777" w:rsidR="004C64BF" w:rsidRDefault="004C64BF" w:rsidP="00266865">
      <w:pPr>
        <w:pStyle w:val="Titre1"/>
      </w:pPr>
      <w:bookmarkStart w:id="312" w:name="Contrats_commerciaux_types_651"/>
      <w:bookmarkStart w:id="313" w:name="_Toc482815646"/>
      <w:bookmarkEnd w:id="312"/>
      <w:r>
        <w:lastRenderedPageBreak/>
        <w:t>Contrats commerciaux types</w:t>
      </w:r>
      <w:bookmarkEnd w:id="313"/>
      <w:r>
        <w:t xml:space="preserve"> </w:t>
      </w:r>
    </w:p>
    <w:p w14:paraId="6725994C" w14:textId="2876F943" w:rsidR="00772723" w:rsidRDefault="00772723">
      <w:r>
        <w:br w:type="page"/>
      </w:r>
    </w:p>
    <w:p w14:paraId="0693B79F" w14:textId="77777777" w:rsidR="004C64BF" w:rsidRDefault="004C64BF" w:rsidP="00105A84">
      <w:pPr>
        <w:pStyle w:val="Titre2"/>
      </w:pPr>
      <w:bookmarkStart w:id="314" w:name="Contrat_d_achat_vente_85232036_354256713"/>
      <w:bookmarkStart w:id="315" w:name="_Toc482815647"/>
      <w:bookmarkEnd w:id="314"/>
      <w:r>
        <w:lastRenderedPageBreak/>
        <w:t>Contrat d'achat/vente</w:t>
      </w:r>
      <w:bookmarkEnd w:id="315"/>
      <w:r>
        <w:t xml:space="preserve"> </w:t>
      </w:r>
    </w:p>
    <w:p w14:paraId="0693B7A0" w14:textId="77777777" w:rsidR="004C64BF" w:rsidRDefault="004C64BF" w:rsidP="004C64BF">
      <w:pPr>
        <w:pStyle w:val="Titre3"/>
        <w:spacing w:after="280" w:afterAutospacing="1"/>
      </w:pPr>
      <w:bookmarkStart w:id="316" w:name="OLE_LINK3_3128653224557638_048_602017177"/>
      <w:bookmarkStart w:id="317" w:name="_Toc482815648"/>
      <w:bookmarkEnd w:id="316"/>
      <w:r>
        <w:t xml:space="preserve">Classement selon </w:t>
      </w:r>
      <w:r w:rsidR="001C756E">
        <w:t>la modalité</w:t>
      </w:r>
      <w:r>
        <w:t xml:space="preserve"> de paiement</w:t>
      </w:r>
      <w:bookmarkEnd w:id="317"/>
      <w:r>
        <w:t xml:space="preserve"> </w:t>
      </w:r>
    </w:p>
    <w:p w14:paraId="0693B7A1" w14:textId="77777777" w:rsidR="004C64BF" w:rsidRPr="00630CF9" w:rsidRDefault="004C64BF" w:rsidP="00C25C8C">
      <w:pPr>
        <w:pStyle w:val="Li"/>
        <w:numPr>
          <w:ilvl w:val="0"/>
          <w:numId w:val="13"/>
        </w:numPr>
        <w:rPr>
          <w:sz w:val="20"/>
          <w:szCs w:val="20"/>
        </w:rPr>
      </w:pPr>
      <w:r w:rsidRPr="00630CF9">
        <w:rPr>
          <w:sz w:val="20"/>
          <w:szCs w:val="20"/>
        </w:rPr>
        <w:t xml:space="preserve">Sans intermédiaire : paiement </w:t>
      </w:r>
      <w:r w:rsidR="00380262" w:rsidRPr="00630CF9">
        <w:rPr>
          <w:sz w:val="20"/>
          <w:szCs w:val="20"/>
          <w:lang w:val="fr-BE"/>
        </w:rPr>
        <w:t xml:space="preserve">cash </w:t>
      </w:r>
      <w:r w:rsidRPr="00630CF9">
        <w:rPr>
          <w:sz w:val="20"/>
          <w:szCs w:val="20"/>
        </w:rPr>
        <w:t xml:space="preserve">au grand comptant, </w:t>
      </w:r>
      <w:r w:rsidR="00380262" w:rsidRPr="00630CF9">
        <w:rPr>
          <w:sz w:val="20"/>
          <w:szCs w:val="20"/>
          <w:lang w:val="fr-BE"/>
        </w:rPr>
        <w:t xml:space="preserve">cash </w:t>
      </w:r>
      <w:r w:rsidRPr="00630CF9">
        <w:rPr>
          <w:sz w:val="20"/>
          <w:szCs w:val="20"/>
        </w:rPr>
        <w:t xml:space="preserve">paiement au comptant </w:t>
      </w:r>
    </w:p>
    <w:p w14:paraId="0693B7A2" w14:textId="77777777" w:rsidR="004C64BF" w:rsidRPr="00630CF9" w:rsidRDefault="004C64BF" w:rsidP="00C25C8C">
      <w:pPr>
        <w:pStyle w:val="Li"/>
        <w:numPr>
          <w:ilvl w:val="0"/>
          <w:numId w:val="13"/>
        </w:numPr>
        <w:spacing w:after="280" w:afterAutospacing="1"/>
        <w:rPr>
          <w:sz w:val="20"/>
          <w:szCs w:val="20"/>
        </w:rPr>
      </w:pPr>
      <w:r w:rsidRPr="00630CF9">
        <w:rPr>
          <w:sz w:val="20"/>
          <w:szCs w:val="20"/>
        </w:rPr>
        <w:t>Avec intermédiaire : documents liés au compte courant, cartes (de banque, de crédit, de débit), cré</w:t>
      </w:r>
      <w:r w:rsidRPr="005B7C65">
        <w:rPr>
          <w:sz w:val="20"/>
          <w:szCs w:val="20"/>
        </w:rPr>
        <w:t>di</w:t>
      </w:r>
      <w:r w:rsidRPr="00630CF9">
        <w:rPr>
          <w:sz w:val="20"/>
          <w:szCs w:val="20"/>
        </w:rPr>
        <w:t xml:space="preserve">ts. </w:t>
      </w:r>
    </w:p>
    <w:p w14:paraId="0693B7A3" w14:textId="77777777" w:rsidR="004C64BF" w:rsidRDefault="004C64BF" w:rsidP="004C64BF">
      <w:pPr>
        <w:pStyle w:val="Titre3"/>
        <w:spacing w:after="280" w:afterAutospacing="1"/>
      </w:pPr>
      <w:bookmarkStart w:id="318" w:name="Modes_de_paiement_847260033732_616469662"/>
      <w:bookmarkStart w:id="319" w:name="_Toc482815649"/>
      <w:bookmarkEnd w:id="318"/>
      <w:r>
        <w:t>Modes de paiement</w:t>
      </w:r>
      <w:bookmarkEnd w:id="319"/>
      <w:r>
        <w:t xml:space="preserve"> </w:t>
      </w:r>
    </w:p>
    <w:p w14:paraId="0693B7A4" w14:textId="77777777" w:rsidR="004C64BF" w:rsidRPr="00630CF9" w:rsidRDefault="004C64BF" w:rsidP="00435230">
      <w:pPr>
        <w:pStyle w:val="Li"/>
        <w:numPr>
          <w:ilvl w:val="0"/>
          <w:numId w:val="70"/>
        </w:numPr>
        <w:rPr>
          <w:sz w:val="20"/>
          <w:szCs w:val="20"/>
        </w:rPr>
      </w:pPr>
      <w:r w:rsidRPr="00630CF9">
        <w:rPr>
          <w:sz w:val="20"/>
          <w:szCs w:val="20"/>
        </w:rPr>
        <w:t xml:space="preserve">Paiement d’avance </w:t>
      </w:r>
      <w:r w:rsidR="00BE7858">
        <w:rPr>
          <w:sz w:val="20"/>
          <w:szCs w:val="20"/>
          <w:lang w:val="fr-BE"/>
        </w:rPr>
        <w:t>et acompte</w:t>
      </w:r>
    </w:p>
    <w:p w14:paraId="0693B7A5" w14:textId="77777777" w:rsidR="004C64BF" w:rsidRPr="00630CF9" w:rsidRDefault="004C64BF" w:rsidP="00435230">
      <w:pPr>
        <w:pStyle w:val="Li"/>
        <w:numPr>
          <w:ilvl w:val="0"/>
          <w:numId w:val="70"/>
        </w:numPr>
        <w:rPr>
          <w:sz w:val="20"/>
          <w:szCs w:val="20"/>
        </w:rPr>
      </w:pPr>
      <w:r w:rsidRPr="00630CF9">
        <w:rPr>
          <w:sz w:val="20"/>
          <w:szCs w:val="20"/>
        </w:rPr>
        <w:t xml:space="preserve">Paiement au grand comptant (au moment de la livraison) </w:t>
      </w:r>
    </w:p>
    <w:p w14:paraId="0693B7A6" w14:textId="77777777" w:rsidR="004C64BF" w:rsidRPr="00630CF9" w:rsidRDefault="004C64BF" w:rsidP="00435230">
      <w:pPr>
        <w:pStyle w:val="Li"/>
        <w:numPr>
          <w:ilvl w:val="0"/>
          <w:numId w:val="70"/>
        </w:numPr>
        <w:rPr>
          <w:sz w:val="20"/>
          <w:szCs w:val="20"/>
        </w:rPr>
      </w:pPr>
      <w:r w:rsidRPr="00630CF9">
        <w:rPr>
          <w:sz w:val="20"/>
          <w:szCs w:val="20"/>
        </w:rPr>
        <w:t xml:space="preserve">Paiement au comptant (maximum 8 jours après livraison) </w:t>
      </w:r>
    </w:p>
    <w:p w14:paraId="0693B7A7" w14:textId="0BA497AB" w:rsidR="004C64BF" w:rsidRPr="00630CF9" w:rsidRDefault="004C64BF" w:rsidP="00435230">
      <w:pPr>
        <w:pStyle w:val="Li"/>
        <w:numPr>
          <w:ilvl w:val="0"/>
          <w:numId w:val="70"/>
        </w:numPr>
        <w:rPr>
          <w:sz w:val="20"/>
          <w:szCs w:val="20"/>
        </w:rPr>
      </w:pPr>
      <w:r w:rsidRPr="00630CF9">
        <w:rPr>
          <w:sz w:val="20"/>
          <w:szCs w:val="20"/>
        </w:rPr>
        <w:t xml:space="preserve">Vente à terme </w:t>
      </w:r>
      <w:r w:rsidR="00B361A7">
        <w:rPr>
          <w:sz w:val="20"/>
          <w:szCs w:val="20"/>
          <w:lang w:val="fr-BE"/>
        </w:rPr>
        <w:t>(30, 60 ou 90 jours fin de mois)</w:t>
      </w:r>
    </w:p>
    <w:p w14:paraId="0693B7A8" w14:textId="0D16058A" w:rsidR="004C64BF" w:rsidRPr="000777AC" w:rsidRDefault="00105A84" w:rsidP="00435230">
      <w:pPr>
        <w:pStyle w:val="Li"/>
        <w:numPr>
          <w:ilvl w:val="0"/>
          <w:numId w:val="70"/>
        </w:numPr>
        <w:spacing w:after="280" w:afterAutospacing="1"/>
        <w:rPr>
          <w:sz w:val="20"/>
          <w:szCs w:val="20"/>
        </w:rPr>
      </w:pPr>
      <w:hyperlink r:id="rId116" w:history="1">
        <w:bookmarkStart w:id="320" w:name="iutt"/>
        <w:r w:rsidR="004C64BF" w:rsidRPr="00630CF9">
          <w:rPr>
            <w:color w:val="0000FF"/>
            <w:sz w:val="20"/>
            <w:szCs w:val="20"/>
            <w:u w:val="single"/>
          </w:rPr>
          <w:t>Vente à tempérament</w:t>
        </w:r>
      </w:hyperlink>
      <w:bookmarkEnd w:id="320"/>
      <w:r w:rsidR="004C64BF" w:rsidRPr="00630CF9">
        <w:rPr>
          <w:sz w:val="20"/>
          <w:szCs w:val="20"/>
        </w:rPr>
        <w:t xml:space="preserve"> (accompte obligatoire et minimum </w:t>
      </w:r>
      <w:r w:rsidR="00596617">
        <w:rPr>
          <w:sz w:val="20"/>
          <w:szCs w:val="20"/>
          <w:lang w:val="fr-BE"/>
        </w:rPr>
        <w:t>4</w:t>
      </w:r>
      <w:r w:rsidR="004C64BF" w:rsidRPr="00630CF9">
        <w:rPr>
          <w:sz w:val="20"/>
          <w:szCs w:val="20"/>
        </w:rPr>
        <w:t xml:space="preserve"> mensualités</w:t>
      </w:r>
      <w:r w:rsidR="003271E1">
        <w:rPr>
          <w:sz w:val="20"/>
          <w:szCs w:val="20"/>
          <w:lang w:val="fr-BE"/>
        </w:rPr>
        <w:t xml:space="preserve">, maximum 120 mois et </w:t>
      </w:r>
      <w:r w:rsidR="003271E1" w:rsidRPr="003271E1">
        <w:rPr>
          <w:snapToGrid w:val="0"/>
          <w:sz w:val="20"/>
          <w:szCs w:val="20"/>
        </w:rPr>
        <w:t>de 1 000 € à 50 000 €</w:t>
      </w:r>
      <w:r w:rsidR="004C64BF" w:rsidRPr="003271E1">
        <w:rPr>
          <w:sz w:val="20"/>
          <w:szCs w:val="20"/>
        </w:rPr>
        <w:t>)</w:t>
      </w:r>
      <w:r w:rsidR="004C64BF" w:rsidRPr="00630CF9">
        <w:rPr>
          <w:sz w:val="20"/>
          <w:szCs w:val="20"/>
        </w:rPr>
        <w:t xml:space="preserve"> </w:t>
      </w:r>
      <w:r w:rsidR="00435230">
        <w:rPr>
          <w:sz w:val="20"/>
          <w:szCs w:val="20"/>
          <w:lang w:val="fr-BE"/>
        </w:rPr>
        <w:t>= PAT = Prêt à la consommation</w:t>
      </w:r>
    </w:p>
    <w:p w14:paraId="0693B7A9" w14:textId="77777777" w:rsidR="000777AC" w:rsidRPr="00630CF9" w:rsidRDefault="000777AC" w:rsidP="00435230">
      <w:pPr>
        <w:pStyle w:val="Li"/>
        <w:numPr>
          <w:ilvl w:val="0"/>
          <w:numId w:val="70"/>
        </w:numPr>
        <w:spacing w:after="280" w:afterAutospacing="1"/>
        <w:rPr>
          <w:sz w:val="20"/>
          <w:szCs w:val="20"/>
        </w:rPr>
      </w:pPr>
      <w:r>
        <w:rPr>
          <w:sz w:val="20"/>
          <w:szCs w:val="20"/>
          <w:lang w:val="fr-BE"/>
        </w:rPr>
        <w:t>Tous les autres crédits</w:t>
      </w:r>
    </w:p>
    <w:p w14:paraId="0693B7AA" w14:textId="77777777" w:rsidR="004C64BF" w:rsidRDefault="004C64BF" w:rsidP="004C64BF">
      <w:pPr>
        <w:pStyle w:val="Titre3"/>
        <w:spacing w:after="280" w:afterAutospacing="1"/>
      </w:pPr>
      <w:bookmarkStart w:id="321" w:name="Mentions_obligatoires_de_tout__510379130"/>
      <w:bookmarkStart w:id="322" w:name="_Toc482815650"/>
      <w:bookmarkEnd w:id="321"/>
      <w:r>
        <w:t>Mentions obligatoires de tout document commercial</w:t>
      </w:r>
      <w:bookmarkEnd w:id="322"/>
      <w:r>
        <w:t xml:space="preserve"> </w:t>
      </w:r>
    </w:p>
    <w:p w14:paraId="0693B7AB" w14:textId="77777777" w:rsidR="004C64BF" w:rsidRDefault="004C64BF" w:rsidP="006F75CE">
      <w:pPr>
        <w:pStyle w:val="StyleAprs14pt"/>
      </w:pPr>
      <w:r>
        <w:t xml:space="preserve">Date, identification des parties, signatures, objet &amp; contenu, n° d’entreprise (= n° de TVA, Registre de commerce pour les anciennes entreprises), n° de compte en banque </w:t>
      </w:r>
    </w:p>
    <w:p w14:paraId="0693B7AC" w14:textId="77777777" w:rsidR="004C64BF" w:rsidRDefault="004C64BF" w:rsidP="004C64BF">
      <w:pPr>
        <w:pStyle w:val="Titre3"/>
        <w:spacing w:after="280" w:afterAutospacing="1"/>
      </w:pPr>
      <w:bookmarkStart w:id="323" w:name="Facture_mentions_sp_cifiques_6_802225435"/>
      <w:bookmarkStart w:id="324" w:name="_Toc482815651"/>
      <w:bookmarkEnd w:id="323"/>
      <w:r>
        <w:t>Facture – mentions spécifiques</w:t>
      </w:r>
      <w:bookmarkEnd w:id="324"/>
      <w:r>
        <w:t xml:space="preserve"> </w:t>
      </w:r>
    </w:p>
    <w:p w14:paraId="0693B7AD" w14:textId="24138D29" w:rsidR="004C64BF" w:rsidRDefault="005A78C6" w:rsidP="006F75CE">
      <w:pPr>
        <w:pStyle w:val="StyleAprs14pt"/>
      </w:pPr>
      <w:r>
        <w:t>N° de facture, m</w:t>
      </w:r>
      <w:r w:rsidR="004C64BF">
        <w:t>ention du produit (référence, libellé, quantité, prix unitaire, prix total, avec et sans TVA), totaux généraux (avec ventilation des montants TVA par taux de TVA), avec éventuelles diminutions sur le pr</w:t>
      </w:r>
      <w:r w:rsidR="00380262">
        <w:t>ix</w:t>
      </w:r>
      <w:r w:rsidR="004108BB">
        <w:t xml:space="preserve"> (RRR d’abord, escompte à la fin)</w:t>
      </w:r>
      <w:r w:rsidR="00380262">
        <w:t>, modes de paiement éventuel</w:t>
      </w:r>
      <w:r w:rsidR="004C64BF">
        <w:t xml:space="preserve">s, conditions de transport éventuelles, conditions éventuelles de livraison, conditions générales de vente </w:t>
      </w:r>
    </w:p>
    <w:p w14:paraId="0693B7AE" w14:textId="77777777" w:rsidR="004C64BF" w:rsidRDefault="004C64BF" w:rsidP="004C64BF">
      <w:pPr>
        <w:pStyle w:val="Titre3"/>
        <w:spacing w:after="280" w:afterAutospacing="1"/>
      </w:pPr>
      <w:bookmarkStart w:id="325" w:name="Types_de_r_ductions_sur_le_pri_242344765"/>
      <w:bookmarkStart w:id="326" w:name="_Toc482815652"/>
      <w:bookmarkEnd w:id="325"/>
      <w:r>
        <w:t>Types de réductions sur le prix</w:t>
      </w:r>
      <w:bookmarkEnd w:id="326"/>
      <w:r>
        <w:t xml:space="preserve"> </w:t>
      </w:r>
    </w:p>
    <w:p w14:paraId="0693B7AF" w14:textId="1C0A8471" w:rsidR="004C64BF" w:rsidRPr="00630CF9" w:rsidRDefault="00105A84" w:rsidP="00C25C8C">
      <w:pPr>
        <w:pStyle w:val="Li"/>
        <w:numPr>
          <w:ilvl w:val="0"/>
          <w:numId w:val="15"/>
        </w:numPr>
        <w:rPr>
          <w:sz w:val="20"/>
          <w:szCs w:val="20"/>
        </w:rPr>
      </w:pPr>
      <w:hyperlink r:id="rId117" w:history="1">
        <w:bookmarkStart w:id="327" w:name="d913"/>
        <w:r w:rsidR="00717764" w:rsidRPr="00630CF9">
          <w:rPr>
            <w:color w:val="0000FF"/>
            <w:sz w:val="20"/>
            <w:szCs w:val="20"/>
            <w:u w:val="single"/>
          </w:rPr>
          <w:t>Remise</w:t>
        </w:r>
      </w:hyperlink>
      <w:bookmarkEnd w:id="327"/>
      <w:r w:rsidR="00717764" w:rsidRPr="00630CF9">
        <w:rPr>
          <w:sz w:val="20"/>
          <w:szCs w:val="20"/>
        </w:rPr>
        <w:t xml:space="preserve"> </w:t>
      </w:r>
      <w:r w:rsidR="004C64BF" w:rsidRPr="00630CF9">
        <w:rPr>
          <w:sz w:val="20"/>
          <w:szCs w:val="20"/>
        </w:rPr>
        <w:t xml:space="preserve">: réduction de prix </w:t>
      </w:r>
      <w:r w:rsidR="00505915" w:rsidRPr="00630CF9">
        <w:rPr>
          <w:sz w:val="20"/>
          <w:szCs w:val="20"/>
        </w:rPr>
        <w:t xml:space="preserve">en raison de l’importance des achats </w:t>
      </w:r>
    </w:p>
    <w:p w14:paraId="0693B7B0" w14:textId="77777777" w:rsidR="004C64BF" w:rsidRPr="00630CF9" w:rsidRDefault="00105A84" w:rsidP="00C25C8C">
      <w:pPr>
        <w:pStyle w:val="Li"/>
        <w:numPr>
          <w:ilvl w:val="0"/>
          <w:numId w:val="15"/>
        </w:numPr>
        <w:rPr>
          <w:sz w:val="20"/>
          <w:szCs w:val="20"/>
        </w:rPr>
      </w:pPr>
      <w:hyperlink r:id="rId118" w:history="1">
        <w:bookmarkStart w:id="328" w:name="j7ek"/>
        <w:r w:rsidR="004C64BF" w:rsidRPr="00630CF9">
          <w:rPr>
            <w:color w:val="0000FF"/>
            <w:sz w:val="20"/>
            <w:szCs w:val="20"/>
            <w:u w:val="single"/>
          </w:rPr>
          <w:t>Rabais</w:t>
        </w:r>
      </w:hyperlink>
      <w:bookmarkEnd w:id="328"/>
      <w:r w:rsidR="004C64BF" w:rsidRPr="00630CF9">
        <w:rPr>
          <w:sz w:val="20"/>
          <w:szCs w:val="20"/>
        </w:rPr>
        <w:t xml:space="preserve"> : réduction de prix pour cause de défaut de qualité (dont bon poids, freinte, coulage, réfaction) </w:t>
      </w:r>
    </w:p>
    <w:p w14:paraId="0693B7B1" w14:textId="5A87A044" w:rsidR="004C64BF" w:rsidRPr="00630CF9" w:rsidRDefault="00105A84" w:rsidP="00C25C8C">
      <w:pPr>
        <w:pStyle w:val="Li"/>
        <w:numPr>
          <w:ilvl w:val="0"/>
          <w:numId w:val="15"/>
        </w:numPr>
        <w:rPr>
          <w:sz w:val="20"/>
          <w:szCs w:val="20"/>
        </w:rPr>
      </w:pPr>
      <w:hyperlink r:id="rId119" w:history="1">
        <w:bookmarkStart w:id="329" w:name="ank5"/>
        <w:r w:rsidR="00717764" w:rsidRPr="00630CF9">
          <w:rPr>
            <w:color w:val="0000FF"/>
            <w:sz w:val="20"/>
            <w:szCs w:val="20"/>
            <w:u w:val="single"/>
          </w:rPr>
          <w:t>Ristourne</w:t>
        </w:r>
      </w:hyperlink>
      <w:bookmarkEnd w:id="329"/>
      <w:r w:rsidR="00717764">
        <w:rPr>
          <w:sz w:val="20"/>
          <w:szCs w:val="20"/>
          <w:lang w:val="fr-BE"/>
        </w:rPr>
        <w:t> </w:t>
      </w:r>
      <w:r w:rsidR="004C64BF" w:rsidRPr="00630CF9">
        <w:rPr>
          <w:sz w:val="20"/>
          <w:szCs w:val="20"/>
        </w:rPr>
        <w:t xml:space="preserve">: réduction de prix pour fidélité ou </w:t>
      </w:r>
      <w:r w:rsidR="00505915" w:rsidRPr="00630CF9">
        <w:rPr>
          <w:sz w:val="20"/>
          <w:szCs w:val="20"/>
        </w:rPr>
        <w:t>sur un ensemble d’achats accumulés</w:t>
      </w:r>
    </w:p>
    <w:p w14:paraId="0693B7B2" w14:textId="7F341BBE" w:rsidR="004C64BF" w:rsidRPr="00630CF9" w:rsidRDefault="00105A84" w:rsidP="00C25C8C">
      <w:pPr>
        <w:pStyle w:val="Li"/>
        <w:numPr>
          <w:ilvl w:val="0"/>
          <w:numId w:val="15"/>
        </w:numPr>
        <w:spacing w:after="280" w:afterAutospacing="1"/>
        <w:rPr>
          <w:sz w:val="20"/>
          <w:szCs w:val="20"/>
        </w:rPr>
      </w:pPr>
      <w:hyperlink r:id="rId120" w:history="1">
        <w:bookmarkStart w:id="330" w:name="sdli"/>
        <w:r w:rsidR="004C64BF" w:rsidRPr="00630CF9">
          <w:rPr>
            <w:color w:val="0000FF"/>
            <w:sz w:val="20"/>
            <w:szCs w:val="20"/>
            <w:u w:val="single"/>
          </w:rPr>
          <w:t>Escompte</w:t>
        </w:r>
      </w:hyperlink>
      <w:bookmarkEnd w:id="330"/>
      <w:r w:rsidR="004C64BF" w:rsidRPr="00630CF9">
        <w:rPr>
          <w:sz w:val="20"/>
          <w:szCs w:val="20"/>
        </w:rPr>
        <w:t xml:space="preserve"> : réduction de prix pour paiement au grand comptant (moment de la livraison</w:t>
      </w:r>
      <w:r w:rsidR="009645E5">
        <w:rPr>
          <w:sz w:val="20"/>
          <w:szCs w:val="20"/>
          <w:lang w:val="fr-BE"/>
        </w:rPr>
        <w:t xml:space="preserve"> </w:t>
      </w:r>
      <w:r w:rsidR="009645E5" w:rsidRPr="009645E5">
        <w:rPr>
          <w:sz w:val="20"/>
          <w:szCs w:val="20"/>
          <w:lang w:val="fr-BE"/>
        </w:rPr>
        <w:sym w:font="Wingdings" w:char="F0E8"/>
      </w:r>
      <w:r w:rsidR="009645E5">
        <w:rPr>
          <w:sz w:val="20"/>
          <w:szCs w:val="20"/>
          <w:lang w:val="fr-BE"/>
        </w:rPr>
        <w:t xml:space="preserve"> escompte ferme</w:t>
      </w:r>
      <w:r w:rsidR="004C64BF" w:rsidRPr="00630CF9">
        <w:rPr>
          <w:sz w:val="20"/>
          <w:szCs w:val="20"/>
        </w:rPr>
        <w:t>), au comptant (quelques jours après la livraison</w:t>
      </w:r>
      <w:r w:rsidR="009645E5">
        <w:rPr>
          <w:sz w:val="20"/>
          <w:szCs w:val="20"/>
          <w:lang w:val="fr-BE"/>
        </w:rPr>
        <w:t xml:space="preserve"> </w:t>
      </w:r>
      <w:r w:rsidR="009645E5" w:rsidRPr="009645E5">
        <w:rPr>
          <w:sz w:val="20"/>
          <w:szCs w:val="20"/>
          <w:lang w:val="fr-BE"/>
        </w:rPr>
        <w:sym w:font="Wingdings" w:char="F0E8"/>
      </w:r>
      <w:r w:rsidR="009645E5">
        <w:rPr>
          <w:sz w:val="20"/>
          <w:szCs w:val="20"/>
          <w:lang w:val="fr-BE"/>
        </w:rPr>
        <w:t xml:space="preserve"> escompte conditionnel</w:t>
      </w:r>
      <w:r w:rsidR="004C64BF" w:rsidRPr="00630CF9">
        <w:rPr>
          <w:sz w:val="20"/>
          <w:szCs w:val="20"/>
        </w:rPr>
        <w:t xml:space="preserve">), ou au comptant (avant les 8 jours) </w:t>
      </w:r>
    </w:p>
    <w:p w14:paraId="0693B7B3" w14:textId="77777777" w:rsidR="004C64BF" w:rsidRDefault="004C64BF" w:rsidP="004C64BF">
      <w:pPr>
        <w:pStyle w:val="Titre3"/>
        <w:spacing w:after="280" w:afterAutospacing="1"/>
      </w:pPr>
      <w:bookmarkStart w:id="331" w:name="Formes_887317951839383_0477623"/>
      <w:bookmarkStart w:id="332" w:name="_Toc482815653"/>
      <w:bookmarkEnd w:id="331"/>
      <w:r>
        <w:lastRenderedPageBreak/>
        <w:t>Formes</w:t>
      </w:r>
      <w:bookmarkEnd w:id="332"/>
      <w:r>
        <w:t xml:space="preserve"> </w:t>
      </w:r>
    </w:p>
    <w:p w14:paraId="0693B7B4" w14:textId="1FB58E3F" w:rsidR="004C64BF" w:rsidRDefault="004C64BF" w:rsidP="006F75CE">
      <w:pPr>
        <w:pStyle w:val="StyleAprs14pt"/>
      </w:pPr>
      <w:r>
        <w:t>Bon de commande approuvé, facture payée, offre ou devis contresigné, promesse de vente, compromis de vente, arrêté de vente (courtier) et contrat d</w:t>
      </w:r>
      <w:r w:rsidR="00415655">
        <w:t>’achat/vente proprement dit, bon</w:t>
      </w:r>
      <w:r>
        <w:t xml:space="preserve"> de réception ; bail </w:t>
      </w:r>
    </w:p>
    <w:p w14:paraId="0693B7B5" w14:textId="77777777" w:rsidR="004C64BF" w:rsidRDefault="004C64BF" w:rsidP="004C64BF">
      <w:pPr>
        <w:pStyle w:val="Titre3"/>
        <w:spacing w:after="280" w:afterAutospacing="1"/>
      </w:pPr>
      <w:bookmarkStart w:id="333" w:name="Cas_particuliers_6161454280326_145293855"/>
      <w:bookmarkStart w:id="334" w:name="_Toc482815654"/>
      <w:bookmarkEnd w:id="333"/>
      <w:r>
        <w:t>Cas particuliers</w:t>
      </w:r>
      <w:bookmarkEnd w:id="334"/>
      <w:r>
        <w:t xml:space="preserve"> </w:t>
      </w:r>
    </w:p>
    <w:p w14:paraId="0693B7B6" w14:textId="77777777" w:rsidR="004C64BF" w:rsidRPr="00630CF9" w:rsidRDefault="004C64BF" w:rsidP="00C25C8C">
      <w:pPr>
        <w:pStyle w:val="Li"/>
        <w:numPr>
          <w:ilvl w:val="0"/>
          <w:numId w:val="16"/>
        </w:numPr>
        <w:rPr>
          <w:sz w:val="20"/>
          <w:szCs w:val="20"/>
        </w:rPr>
      </w:pPr>
      <w:r w:rsidRPr="00630CF9">
        <w:rPr>
          <w:sz w:val="20"/>
          <w:szCs w:val="20"/>
        </w:rPr>
        <w:t xml:space="preserve">Acquit : mention (souvent manuscrite) apposée sur la facture en cas de paiement au grand comptant ou au comptant </w:t>
      </w:r>
    </w:p>
    <w:p w14:paraId="0693B7B7" w14:textId="77777777" w:rsidR="004C64BF" w:rsidRPr="00630CF9" w:rsidRDefault="004C64BF" w:rsidP="00C25C8C">
      <w:pPr>
        <w:pStyle w:val="Li"/>
        <w:numPr>
          <w:ilvl w:val="0"/>
          <w:numId w:val="16"/>
        </w:numPr>
        <w:rPr>
          <w:sz w:val="20"/>
          <w:szCs w:val="20"/>
        </w:rPr>
      </w:pPr>
      <w:r w:rsidRPr="00630CF9">
        <w:rPr>
          <w:sz w:val="20"/>
          <w:szCs w:val="20"/>
        </w:rPr>
        <w:t xml:space="preserve">Reçu : signé par l’acheteur, atteste la naissance d’une dette </w:t>
      </w:r>
    </w:p>
    <w:p w14:paraId="0693B7B8" w14:textId="77777777" w:rsidR="004C64BF" w:rsidRPr="00630CF9" w:rsidRDefault="004C64BF" w:rsidP="00C25C8C">
      <w:pPr>
        <w:pStyle w:val="Li"/>
        <w:numPr>
          <w:ilvl w:val="0"/>
          <w:numId w:val="16"/>
        </w:numPr>
        <w:rPr>
          <w:sz w:val="20"/>
          <w:szCs w:val="20"/>
        </w:rPr>
      </w:pPr>
      <w:r w:rsidRPr="00630CF9">
        <w:rPr>
          <w:sz w:val="20"/>
          <w:szCs w:val="20"/>
        </w:rPr>
        <w:t xml:space="preserve">Quittance : signée par le vendeur, atteste la fin ou l’apurement partiel d’une dette </w:t>
      </w:r>
    </w:p>
    <w:p w14:paraId="0693B7B9" w14:textId="77777777" w:rsidR="004C64BF" w:rsidRPr="00630CF9" w:rsidRDefault="00105A84" w:rsidP="00C25C8C">
      <w:pPr>
        <w:pStyle w:val="Li"/>
        <w:numPr>
          <w:ilvl w:val="0"/>
          <w:numId w:val="16"/>
        </w:numPr>
        <w:rPr>
          <w:sz w:val="20"/>
          <w:szCs w:val="20"/>
        </w:rPr>
      </w:pPr>
      <w:hyperlink r:id="rId121" w:history="1">
        <w:bookmarkStart w:id="335" w:name="mdkb"/>
        <w:r w:rsidR="004C64BF" w:rsidRPr="00630CF9">
          <w:rPr>
            <w:color w:val="0000FF"/>
            <w:sz w:val="20"/>
            <w:szCs w:val="20"/>
            <w:u w:val="single"/>
          </w:rPr>
          <w:t>Note de débit</w:t>
        </w:r>
      </w:hyperlink>
      <w:bookmarkEnd w:id="335"/>
      <w:r w:rsidR="004C64BF" w:rsidRPr="00630CF9">
        <w:rPr>
          <w:sz w:val="20"/>
          <w:szCs w:val="20"/>
        </w:rPr>
        <w:t xml:space="preserve"> : facture complémentaire à une 1re facture, pour mentionner un paiement supplémentaire de l’acheteur au vendeur </w:t>
      </w:r>
    </w:p>
    <w:p w14:paraId="0693B7BA" w14:textId="77777777" w:rsidR="004C64BF" w:rsidRPr="00630CF9" w:rsidRDefault="00105A84" w:rsidP="00C25C8C">
      <w:pPr>
        <w:pStyle w:val="Li"/>
        <w:numPr>
          <w:ilvl w:val="0"/>
          <w:numId w:val="16"/>
        </w:numPr>
        <w:spacing w:after="280" w:afterAutospacing="1"/>
        <w:rPr>
          <w:sz w:val="20"/>
          <w:szCs w:val="20"/>
        </w:rPr>
      </w:pPr>
      <w:hyperlink r:id="rId122" w:history="1">
        <w:bookmarkStart w:id="336" w:name="ba1e"/>
        <w:r w:rsidR="004C64BF" w:rsidRPr="00630CF9">
          <w:rPr>
            <w:color w:val="0000FF"/>
            <w:sz w:val="20"/>
            <w:szCs w:val="20"/>
            <w:u w:val="single"/>
          </w:rPr>
          <w:t>Note de crédit</w:t>
        </w:r>
      </w:hyperlink>
      <w:bookmarkEnd w:id="336"/>
      <w:r w:rsidR="004C64BF" w:rsidRPr="00630CF9">
        <w:rPr>
          <w:sz w:val="20"/>
          <w:szCs w:val="20"/>
        </w:rPr>
        <w:t xml:space="preserve"> : facture complémentaire à une 1re facture, pour mentionner un remboursement de vendeur à l’acheteur </w:t>
      </w:r>
    </w:p>
    <w:bookmarkStart w:id="337" w:name="Incoterms_03788998828203072_74"/>
    <w:bookmarkEnd w:id="337"/>
    <w:p w14:paraId="0693B7BB" w14:textId="77777777" w:rsidR="004C64BF" w:rsidRDefault="0041495B" w:rsidP="004C64BF">
      <w:pPr>
        <w:pStyle w:val="Titre3"/>
        <w:spacing w:after="280" w:afterAutospacing="1"/>
      </w:pPr>
      <w:r>
        <w:fldChar w:fldCharType="begin"/>
      </w:r>
      <w:r w:rsidR="004C64BF">
        <w:instrText xml:space="preserve"> HYPERLINK "http://fr.wikipedia.org/wiki/Incoterms" </w:instrText>
      </w:r>
      <w:r>
        <w:fldChar w:fldCharType="separate"/>
      </w:r>
      <w:bookmarkStart w:id="338" w:name="gv-2"/>
      <w:bookmarkStart w:id="339" w:name="_Toc482815655"/>
      <w:r w:rsidR="004C64BF">
        <w:rPr>
          <w:u w:val="single"/>
        </w:rPr>
        <w:t>Incoterms</w:t>
      </w:r>
      <w:bookmarkEnd w:id="339"/>
      <w:r>
        <w:fldChar w:fldCharType="end"/>
      </w:r>
      <w:bookmarkEnd w:id="338"/>
      <w:r w:rsidR="004C64BF">
        <w:t xml:space="preserve"> </w:t>
      </w:r>
    </w:p>
    <w:p w14:paraId="0693B7BC" w14:textId="77777777" w:rsidR="000C77FC" w:rsidRDefault="000C77FC" w:rsidP="000C77FC">
      <w:pPr>
        <w:spacing w:before="96" w:after="120"/>
        <w:jc w:val="center"/>
      </w:pPr>
    </w:p>
    <w:p w14:paraId="0693B7BD" w14:textId="77777777" w:rsidR="000C77FC" w:rsidRDefault="00FB0892" w:rsidP="00D97D6A">
      <w:pPr>
        <w:spacing w:before="96" w:after="120"/>
      </w:pPr>
      <w:r>
        <w:rPr>
          <w:noProof/>
          <w:lang w:eastAsia="fr-BE"/>
        </w:rPr>
        <w:drawing>
          <wp:inline distT="0" distB="0" distL="0" distR="0" wp14:anchorId="0693BAF4" wp14:editId="0693BAF5">
            <wp:extent cx="5457825" cy="3990975"/>
            <wp:effectExtent l="0" t="0" r="9525" b="9525"/>
            <wp:docPr id="19" name="Image 19" descr="INCOTERMS_MUL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TERMS_MULTIM"/>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57825" cy="3990975"/>
                    </a:xfrm>
                    <a:prstGeom prst="rect">
                      <a:avLst/>
                    </a:prstGeom>
                    <a:noFill/>
                    <a:ln>
                      <a:noFill/>
                    </a:ln>
                  </pic:spPr>
                </pic:pic>
              </a:graphicData>
            </a:graphic>
          </wp:inline>
        </w:drawing>
      </w:r>
    </w:p>
    <w:p w14:paraId="0693B7BE" w14:textId="77777777" w:rsidR="000C77FC" w:rsidRPr="00D97D6A" w:rsidRDefault="00FB0892" w:rsidP="00706AA8">
      <w:pPr>
        <w:spacing w:before="240" w:after="120"/>
        <w:jc w:val="center"/>
        <w:rPr>
          <w:rFonts w:cs="Arial"/>
          <w:color w:val="000000"/>
          <w:szCs w:val="20"/>
          <w:lang w:eastAsia="fr-BE"/>
        </w:rPr>
      </w:pPr>
      <w:r>
        <w:rPr>
          <w:noProof/>
          <w:lang w:eastAsia="fr-BE"/>
        </w:rPr>
        <w:lastRenderedPageBreak/>
        <w:drawing>
          <wp:inline distT="0" distB="0" distL="0" distR="0" wp14:anchorId="0693BAF6" wp14:editId="0693BAF7">
            <wp:extent cx="4267200" cy="3048000"/>
            <wp:effectExtent l="0" t="0" r="0" b="0"/>
            <wp:docPr id="20" name="Image 20" descr="e1e5e5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e5e52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67200" cy="3048000"/>
                    </a:xfrm>
                    <a:prstGeom prst="rect">
                      <a:avLst/>
                    </a:prstGeom>
                    <a:noFill/>
                    <a:ln>
                      <a:noFill/>
                    </a:ln>
                  </pic:spPr>
                </pic:pic>
              </a:graphicData>
            </a:graphic>
          </wp:inline>
        </w:drawing>
      </w:r>
    </w:p>
    <w:p w14:paraId="0693B7BF" w14:textId="77777777" w:rsidR="00D97D6A" w:rsidRDefault="00D97D6A" w:rsidP="00D97D6A"/>
    <w:p w14:paraId="0693B7C0"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EXW : </w:t>
      </w:r>
      <w:hyperlink r:id="rId125" w:history="1">
        <w:r w:rsidRPr="00D97D6A">
          <w:rPr>
            <w:rFonts w:cs="Arial"/>
            <w:color w:val="0645AD"/>
            <w:szCs w:val="20"/>
            <w:u w:val="single"/>
            <w:lang w:eastAsia="fr-BE"/>
          </w:rPr>
          <w:t>Ex Works</w:t>
        </w:r>
      </w:hyperlink>
      <w:r w:rsidRPr="00D97D6A">
        <w:rPr>
          <w:rFonts w:cs="Arial"/>
          <w:color w:val="000000"/>
          <w:szCs w:val="20"/>
          <w:lang w:eastAsia="fr-BE"/>
        </w:rPr>
        <w:t>, au départ non chargé, non dédouané / sortie d'usine (uniquement adapté aux flux domestiques, nationaux)</w:t>
      </w:r>
    </w:p>
    <w:p w14:paraId="0693B7C1"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FCA : </w:t>
      </w:r>
      <w:hyperlink r:id="rId126" w:history="1">
        <w:r w:rsidRPr="00D97D6A">
          <w:rPr>
            <w:rFonts w:cs="Arial"/>
            <w:color w:val="0645AD"/>
            <w:szCs w:val="20"/>
            <w:u w:val="single"/>
            <w:lang w:eastAsia="fr-BE"/>
          </w:rPr>
          <w:t>Free Carrier</w:t>
        </w:r>
      </w:hyperlink>
      <w:r w:rsidRPr="00D97D6A">
        <w:rPr>
          <w:rFonts w:cs="Arial"/>
          <w:color w:val="000000"/>
          <w:szCs w:val="20"/>
          <w:lang w:eastAsia="fr-BE"/>
        </w:rPr>
        <w:t>, marchandises dédouanées et chargées dans le pays de départ, chez le vendeur ou chez le commissionnaire de transport de l'acheteur.</w:t>
      </w:r>
    </w:p>
    <w:p w14:paraId="0693B7C2"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CPT : </w:t>
      </w:r>
      <w:hyperlink r:id="rId127" w:history="1">
        <w:r w:rsidRPr="00D97D6A">
          <w:rPr>
            <w:rFonts w:cs="Arial"/>
            <w:color w:val="0645AD"/>
            <w:szCs w:val="20"/>
            <w:u w:val="single"/>
            <w:lang w:eastAsia="fr-BE"/>
          </w:rPr>
          <w:t>Carriage Paid To</w:t>
        </w:r>
      </w:hyperlink>
      <w:r w:rsidRPr="00D97D6A">
        <w:rPr>
          <w:rFonts w:cs="Arial"/>
          <w:color w:val="000000"/>
          <w:szCs w:val="20"/>
          <w:lang w:eastAsia="fr-BE"/>
        </w:rPr>
        <w:t>, livraison au premier transporteur, frais jusqu'au déchargement du mode de transport, sans assurance pour le transport</w:t>
      </w:r>
    </w:p>
    <w:p w14:paraId="0693B7C3"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CIP : </w:t>
      </w:r>
      <w:hyperlink r:id="rId128" w:history="1">
        <w:r w:rsidRPr="00D97D6A">
          <w:rPr>
            <w:rFonts w:cs="Arial"/>
            <w:color w:val="0645AD"/>
            <w:szCs w:val="20"/>
            <w:u w:val="single"/>
            <w:lang w:eastAsia="fr-BE"/>
          </w:rPr>
          <w:t>Carriage and Insurance Paid to</w:t>
        </w:r>
      </w:hyperlink>
      <w:r w:rsidRPr="00D97D6A">
        <w:rPr>
          <w:rFonts w:cs="Arial"/>
          <w:color w:val="000000"/>
          <w:szCs w:val="20"/>
          <w:lang w:eastAsia="fr-BE"/>
        </w:rPr>
        <w:t>, idem CPT, avec assurance marchandise transportée souscrite par le vendeur pour le compte de l'acheteur</w:t>
      </w:r>
    </w:p>
    <w:p w14:paraId="0693B7C4"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DAT : </w:t>
      </w:r>
      <w:hyperlink r:id="rId129" w:tooltip="Delivered At Terminal (page inexistante)" w:history="1">
        <w:r w:rsidRPr="00D97D6A">
          <w:rPr>
            <w:rFonts w:cs="Arial"/>
            <w:color w:val="BA0000"/>
            <w:szCs w:val="20"/>
            <w:u w:val="single"/>
            <w:lang w:eastAsia="fr-BE"/>
          </w:rPr>
          <w:t>Delivered At Terminal</w:t>
        </w:r>
      </w:hyperlink>
      <w:r w:rsidRPr="00D97D6A">
        <w:rPr>
          <w:rFonts w:cs="Arial"/>
          <w:color w:val="000000"/>
          <w:szCs w:val="20"/>
          <w:lang w:eastAsia="fr-BE"/>
        </w:rPr>
        <w:t>, marchandises (déchargées) livrées sur quai, dans un terminal maritime, fluvial, aérien, routier ou ferroviaire désigné (dédouanement import, et post-acheminement payés par l'acheteur)</w:t>
      </w:r>
    </w:p>
    <w:p w14:paraId="0693B7C5"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DAP : </w:t>
      </w:r>
      <w:hyperlink r:id="rId130" w:tooltip="Delivered At Place (page inexistante)" w:history="1">
        <w:r w:rsidRPr="00D97D6A">
          <w:rPr>
            <w:rFonts w:cs="Arial"/>
            <w:color w:val="BA0000"/>
            <w:szCs w:val="20"/>
            <w:u w:val="single"/>
            <w:lang w:eastAsia="fr-BE"/>
          </w:rPr>
          <w:t>Delivered At Place</w:t>
        </w:r>
      </w:hyperlink>
      <w:r w:rsidRPr="00D97D6A">
        <w:rPr>
          <w:rFonts w:cs="Arial"/>
          <w:color w:val="000000"/>
          <w:szCs w:val="20"/>
          <w:lang w:eastAsia="fr-BE"/>
        </w:rPr>
        <w:t>, marchandises (non déchargées) mises à disposition de l'acheteur dans le pays d'importation au lieu précisé dans le contrat (déchargement, dédouanement import payé par l'acheteur)</w:t>
      </w:r>
    </w:p>
    <w:p w14:paraId="0693B7C6"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DDP : </w:t>
      </w:r>
      <w:hyperlink r:id="rId131" w:history="1">
        <w:r w:rsidRPr="00D97D6A">
          <w:rPr>
            <w:rFonts w:cs="Arial"/>
            <w:color w:val="0645AD"/>
            <w:szCs w:val="20"/>
            <w:u w:val="single"/>
            <w:lang w:eastAsia="fr-BE"/>
          </w:rPr>
          <w:t>Delivered Duty Paid</w:t>
        </w:r>
      </w:hyperlink>
      <w:r w:rsidRPr="00D97D6A">
        <w:rPr>
          <w:rFonts w:cs="Arial"/>
          <w:color w:val="000000"/>
          <w:szCs w:val="20"/>
          <w:lang w:eastAsia="fr-BE"/>
        </w:rPr>
        <w:t>, marchandises (non déchargées) livrées à destination finale, dédouanement import et taxes à la charge du vendeur ; l'acheteur prend en charge uniquement le déchargement (si exclusion des taxes type TVA, le préciser clairement)</w:t>
      </w:r>
    </w:p>
    <w:p w14:paraId="0693B7C7" w14:textId="77777777" w:rsidR="000C77FC" w:rsidRDefault="000C77FC" w:rsidP="000C77FC">
      <w:pPr>
        <w:spacing w:before="96" w:after="120"/>
        <w:ind w:left="360"/>
        <w:rPr>
          <w:rFonts w:cs="Arial"/>
          <w:b/>
          <w:bCs/>
          <w:i/>
          <w:iCs/>
          <w:color w:val="000000"/>
          <w:szCs w:val="20"/>
          <w:lang w:eastAsia="fr-BE"/>
        </w:rPr>
      </w:pPr>
    </w:p>
    <w:p w14:paraId="0693B7C8" w14:textId="77777777" w:rsidR="000C77FC" w:rsidRPr="00D97D6A" w:rsidRDefault="000C77FC" w:rsidP="000C77FC">
      <w:pPr>
        <w:spacing w:before="96" w:after="120"/>
        <w:ind w:left="360"/>
        <w:rPr>
          <w:rFonts w:cs="Arial"/>
          <w:color w:val="000000"/>
          <w:szCs w:val="20"/>
          <w:lang w:eastAsia="fr-BE"/>
        </w:rPr>
      </w:pPr>
      <w:r w:rsidRPr="00D97D6A">
        <w:rPr>
          <w:rFonts w:cs="Arial"/>
          <w:b/>
          <w:bCs/>
          <w:i/>
          <w:iCs/>
          <w:color w:val="000000"/>
          <w:szCs w:val="20"/>
          <w:lang w:eastAsia="fr-BE"/>
        </w:rPr>
        <w:t>Ces règles sont utilisables également pour le transport maritime et/ou fluvial en vrac et/ou en conventionnel</w:t>
      </w:r>
    </w:p>
    <w:p w14:paraId="0693B7C9" w14:textId="77777777" w:rsidR="000C77FC" w:rsidRPr="00D97D6A" w:rsidRDefault="000C77FC" w:rsidP="000C77FC">
      <w:pPr>
        <w:spacing w:before="96" w:after="120"/>
        <w:rPr>
          <w:rFonts w:cs="Arial"/>
          <w:color w:val="000000"/>
          <w:szCs w:val="20"/>
          <w:lang w:eastAsia="fr-BE"/>
        </w:rPr>
      </w:pPr>
    </w:p>
    <w:p w14:paraId="0693B7CA"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FAS : </w:t>
      </w:r>
      <w:hyperlink r:id="rId132" w:history="1">
        <w:r w:rsidRPr="00D97D6A">
          <w:rPr>
            <w:rFonts w:cs="Arial"/>
            <w:color w:val="0645AD"/>
            <w:szCs w:val="20"/>
            <w:u w:val="single"/>
            <w:lang w:eastAsia="fr-BE"/>
          </w:rPr>
          <w:t>Free Alongside Ship</w:t>
        </w:r>
      </w:hyperlink>
      <w:r w:rsidRPr="00D97D6A">
        <w:rPr>
          <w:rFonts w:cs="Arial"/>
          <w:color w:val="000000"/>
          <w:szCs w:val="20"/>
          <w:lang w:eastAsia="fr-BE"/>
        </w:rPr>
        <w:t>, sur le quai du port de départ</w:t>
      </w:r>
    </w:p>
    <w:p w14:paraId="0693B7CB"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FOB : </w:t>
      </w:r>
      <w:hyperlink r:id="rId133" w:history="1">
        <w:r w:rsidRPr="00D97D6A">
          <w:rPr>
            <w:rFonts w:cs="Arial"/>
            <w:color w:val="0645AD"/>
            <w:szCs w:val="20"/>
            <w:u w:val="single"/>
            <w:lang w:eastAsia="fr-BE"/>
          </w:rPr>
          <w:t>Free On Board</w:t>
        </w:r>
      </w:hyperlink>
      <w:r w:rsidRPr="00D97D6A">
        <w:rPr>
          <w:rFonts w:cs="Arial"/>
          <w:color w:val="000000"/>
          <w:szCs w:val="20"/>
          <w:lang w:eastAsia="fr-BE"/>
        </w:rPr>
        <w:t>, chargé sur le bateau ; les frais de chargement dans celui-ci étant fonction du </w:t>
      </w:r>
      <w:r w:rsidRPr="00D97D6A">
        <w:rPr>
          <w:rFonts w:cs="Arial"/>
          <w:i/>
          <w:iCs/>
          <w:color w:val="000000"/>
          <w:szCs w:val="20"/>
          <w:lang w:eastAsia="fr-BE"/>
        </w:rPr>
        <w:t>liner term</w:t>
      </w:r>
      <w:r w:rsidRPr="00D97D6A">
        <w:rPr>
          <w:rFonts w:cs="Arial"/>
          <w:color w:val="000000"/>
          <w:szCs w:val="20"/>
          <w:lang w:eastAsia="fr-BE"/>
        </w:rPr>
        <w:t> indiqué par la compagnie maritime (à la charge du vendeur)</w:t>
      </w:r>
    </w:p>
    <w:p w14:paraId="0693B7CC"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CFR : </w:t>
      </w:r>
      <w:hyperlink r:id="rId134" w:history="1">
        <w:r w:rsidRPr="00D97D6A">
          <w:rPr>
            <w:rFonts w:cs="Arial"/>
            <w:color w:val="0645AD"/>
            <w:szCs w:val="20"/>
            <w:u w:val="single"/>
            <w:lang w:eastAsia="fr-BE"/>
          </w:rPr>
          <w:t>Cost and Freight</w:t>
        </w:r>
      </w:hyperlink>
      <w:r w:rsidRPr="00D97D6A">
        <w:rPr>
          <w:rFonts w:cs="Arial"/>
          <w:color w:val="000000"/>
          <w:szCs w:val="20"/>
          <w:lang w:eastAsia="fr-BE"/>
        </w:rPr>
        <w:t>, chargé dans le bateau, livraison au port de départ, frais payés jusqu'au port d'arrivée, sans assurance pour le transport, non déchargé du navire à destination (les frais de déchargement sont inclus ou non selon le </w:t>
      </w:r>
      <w:r w:rsidRPr="00D97D6A">
        <w:rPr>
          <w:rFonts w:cs="Arial"/>
          <w:i/>
          <w:iCs/>
          <w:color w:val="000000"/>
          <w:szCs w:val="20"/>
          <w:lang w:eastAsia="fr-BE"/>
        </w:rPr>
        <w:t>liner term</w:t>
      </w:r>
      <w:r w:rsidRPr="00D97D6A">
        <w:rPr>
          <w:rFonts w:cs="Arial"/>
          <w:color w:val="000000"/>
          <w:szCs w:val="20"/>
          <w:lang w:eastAsia="fr-BE"/>
        </w:rPr>
        <w:t> au port d'arrivée)</w:t>
      </w:r>
    </w:p>
    <w:p w14:paraId="0693B7CD" w14:textId="77777777" w:rsidR="000C77FC" w:rsidRPr="00D97D6A" w:rsidRDefault="000C77FC" w:rsidP="0086187F">
      <w:pPr>
        <w:numPr>
          <w:ilvl w:val="0"/>
          <w:numId w:val="34"/>
        </w:numPr>
        <w:spacing w:before="100" w:beforeAutospacing="1" w:after="24"/>
        <w:rPr>
          <w:rFonts w:cs="Arial"/>
          <w:color w:val="000000"/>
          <w:szCs w:val="20"/>
          <w:lang w:eastAsia="fr-BE"/>
        </w:rPr>
      </w:pPr>
      <w:r w:rsidRPr="00D97D6A">
        <w:rPr>
          <w:rFonts w:cs="Arial"/>
          <w:color w:val="000000"/>
          <w:szCs w:val="20"/>
          <w:lang w:eastAsia="fr-BE"/>
        </w:rPr>
        <w:t>CIF : </w:t>
      </w:r>
      <w:hyperlink r:id="rId135" w:tooltip="Cost, Insurance and Freight" w:history="1">
        <w:r w:rsidRPr="00D97D6A">
          <w:rPr>
            <w:rFonts w:cs="Arial"/>
            <w:color w:val="0645AD"/>
            <w:szCs w:val="20"/>
            <w:u w:val="single"/>
            <w:lang w:eastAsia="fr-BE"/>
          </w:rPr>
          <w:t>Cost, Insurance and Freight</w:t>
        </w:r>
      </w:hyperlink>
      <w:r w:rsidRPr="00D97D6A">
        <w:rPr>
          <w:rFonts w:cs="Arial"/>
          <w:color w:val="000000"/>
          <w:szCs w:val="20"/>
          <w:lang w:eastAsia="fr-BE"/>
        </w:rPr>
        <w:t>, chargé sur le bateau, frais jusqu'au port d'arrivée, avec l'assurance marchandise transportée souscrite par le vendeur pour le compte de l'acheteur</w:t>
      </w:r>
    </w:p>
    <w:p w14:paraId="0693B7CE" w14:textId="77777777" w:rsidR="000C77FC" w:rsidRDefault="000C77FC" w:rsidP="000C77FC">
      <w:pPr>
        <w:spacing w:before="96" w:after="120"/>
        <w:rPr>
          <w:rFonts w:cs="Arial"/>
          <w:b/>
          <w:bCs/>
          <w:i/>
          <w:iCs/>
          <w:color w:val="000000"/>
          <w:szCs w:val="20"/>
          <w:lang w:eastAsia="fr-BE"/>
        </w:rPr>
      </w:pPr>
    </w:p>
    <w:p w14:paraId="0693B7CF" w14:textId="77777777" w:rsidR="000C77FC" w:rsidRPr="00D97D6A" w:rsidRDefault="000C77FC" w:rsidP="000C77FC">
      <w:pPr>
        <w:spacing w:before="96" w:after="120"/>
        <w:rPr>
          <w:rFonts w:cs="Arial"/>
          <w:color w:val="000000"/>
          <w:szCs w:val="20"/>
          <w:lang w:eastAsia="fr-BE"/>
        </w:rPr>
      </w:pPr>
      <w:r w:rsidRPr="00D97D6A">
        <w:rPr>
          <w:rFonts w:cs="Arial"/>
          <w:b/>
          <w:bCs/>
          <w:i/>
          <w:iCs/>
          <w:color w:val="000000"/>
          <w:szCs w:val="20"/>
          <w:lang w:eastAsia="fr-BE"/>
        </w:rPr>
        <w:lastRenderedPageBreak/>
        <w:t>Pour FOB, CFR et CIF, le transfert des risques, donc la livraison, se fait une fois que les marchandises sont mises à bord !</w:t>
      </w:r>
    </w:p>
    <w:p w14:paraId="0693B7D0" w14:textId="77777777" w:rsidR="000C77FC" w:rsidRDefault="000C77FC" w:rsidP="000C77FC">
      <w:pPr>
        <w:spacing w:before="96" w:after="120"/>
        <w:rPr>
          <w:rFonts w:cs="Arial"/>
          <w:b/>
          <w:bCs/>
          <w:i/>
          <w:iCs/>
          <w:color w:val="000000"/>
          <w:szCs w:val="20"/>
          <w:lang w:eastAsia="fr-BE"/>
        </w:rPr>
      </w:pPr>
    </w:p>
    <w:p w14:paraId="0693B7D1" w14:textId="77777777" w:rsidR="000C77FC" w:rsidRDefault="000C77FC" w:rsidP="000C77FC">
      <w:pPr>
        <w:spacing w:before="96" w:after="120"/>
        <w:rPr>
          <w:rFonts w:cs="Arial"/>
          <w:b/>
          <w:bCs/>
          <w:i/>
          <w:iCs/>
          <w:color w:val="000000"/>
          <w:szCs w:val="20"/>
          <w:lang w:eastAsia="fr-BE"/>
        </w:rPr>
      </w:pPr>
      <w:r w:rsidRPr="00D97D6A">
        <w:rPr>
          <w:rFonts w:cs="Arial"/>
          <w:b/>
          <w:bCs/>
          <w:i/>
          <w:iCs/>
          <w:color w:val="000000"/>
          <w:szCs w:val="20"/>
          <w:lang w:eastAsia="fr-BE"/>
        </w:rPr>
        <w:t>La Chambre de Commerce Internationale recommande de n'utiliser ces règles que si le point de départ ET le point d'arrivée sont des PORTS !</w:t>
      </w:r>
    </w:p>
    <w:bookmarkStart w:id="340" w:name="Obligations_du_vendeur_et_de_l_855095310"/>
    <w:bookmarkEnd w:id="340"/>
    <w:p w14:paraId="0693B7D2" w14:textId="77777777" w:rsidR="004C64BF" w:rsidRDefault="0041495B" w:rsidP="004C64BF">
      <w:pPr>
        <w:pStyle w:val="Titre3"/>
        <w:spacing w:after="280" w:afterAutospacing="1"/>
      </w:pPr>
      <w:r>
        <w:fldChar w:fldCharType="begin"/>
      </w:r>
      <w:r w:rsidR="004C64BF">
        <w:instrText xml:space="preserve"> HYPERLINK "http://www.cerpeg.ac-versailles.fr/ressdiscipl/droit/contratvente.htm" \l "B1" </w:instrText>
      </w:r>
      <w:r>
        <w:fldChar w:fldCharType="separate"/>
      </w:r>
      <w:bookmarkStart w:id="341" w:name="n5vn"/>
      <w:bookmarkStart w:id="342" w:name="_Toc482815656"/>
      <w:r w:rsidR="004C64BF">
        <w:rPr>
          <w:u w:val="single"/>
        </w:rPr>
        <w:t>Obligations du vendeur et de l’acheteur</w:t>
      </w:r>
      <w:r>
        <w:fldChar w:fldCharType="end"/>
      </w:r>
      <w:bookmarkEnd w:id="341"/>
      <w:r w:rsidR="009779E8">
        <w:rPr>
          <w:rStyle w:val="Appelnotedebasdep"/>
        </w:rPr>
        <w:footnoteReference w:id="45"/>
      </w:r>
      <w:bookmarkEnd w:id="342"/>
    </w:p>
    <w:p w14:paraId="0693B7D3" w14:textId="77777777" w:rsidR="009779E8" w:rsidRPr="009779E8" w:rsidRDefault="001E42F5" w:rsidP="001F7D23">
      <w:pPr>
        <w:pStyle w:val="Titre4"/>
      </w:pPr>
      <w:r w:rsidRPr="009779E8">
        <w:t>Les obligations</w:t>
      </w:r>
      <w:r w:rsidR="009779E8" w:rsidRPr="009779E8">
        <w:t xml:space="preserve"> du vendeur</w:t>
      </w:r>
    </w:p>
    <w:p w14:paraId="0693B7D4" w14:textId="77777777" w:rsidR="009779E8" w:rsidRPr="009779E8" w:rsidRDefault="009779E8" w:rsidP="009779E8">
      <w:pPr>
        <w:pStyle w:val="text"/>
        <w:shd w:val="clear" w:color="auto" w:fill="FFFFFF"/>
        <w:jc w:val="both"/>
        <w:rPr>
          <w:rFonts w:ascii="Trebuchet MS" w:hAnsi="Trebuchet MS" w:cs="Arial"/>
          <w:sz w:val="20"/>
          <w:szCs w:val="20"/>
        </w:rPr>
      </w:pPr>
      <w:r w:rsidRPr="009779E8">
        <w:rPr>
          <w:rFonts w:ascii="Trebuchet MS" w:hAnsi="Trebuchet MS" w:cs="Arial"/>
          <w:sz w:val="20"/>
          <w:szCs w:val="20"/>
        </w:rPr>
        <w:t>Il a deux obligations principales : la délivrance du bien et la garantie.</w:t>
      </w:r>
    </w:p>
    <w:p w14:paraId="0693B7D5" w14:textId="283AED56" w:rsidR="009779E8" w:rsidRPr="00222A50" w:rsidRDefault="009779E8" w:rsidP="00222A50">
      <w:pPr>
        <w:numPr>
          <w:ilvl w:val="0"/>
          <w:numId w:val="49"/>
        </w:numPr>
        <w:shd w:val="clear" w:color="auto" w:fill="FFFFFF"/>
        <w:spacing w:before="100" w:beforeAutospacing="1" w:after="100" w:afterAutospacing="1"/>
        <w:jc w:val="both"/>
        <w:rPr>
          <w:rFonts w:cs="Arial"/>
          <w:szCs w:val="20"/>
        </w:rPr>
      </w:pPr>
      <w:r w:rsidRPr="009779E8">
        <w:rPr>
          <w:rFonts w:cs="Arial"/>
          <w:szCs w:val="20"/>
        </w:rPr>
        <w:t>La délivrance du bien : le vendeur doit livrer à son acheteur la chose correspondant aux termes du contrat, c’est à dire conforme en quantité, en qualité, et au moment convenu</w:t>
      </w:r>
      <w:r w:rsidR="00222A50">
        <w:rPr>
          <w:rFonts w:cs="Arial"/>
          <w:szCs w:val="20"/>
        </w:rPr>
        <w:t>.</w:t>
      </w:r>
    </w:p>
    <w:p w14:paraId="0693B7D6" w14:textId="77777777" w:rsidR="009779E8" w:rsidRPr="009779E8" w:rsidRDefault="009779E8" w:rsidP="00222A50">
      <w:pPr>
        <w:numPr>
          <w:ilvl w:val="0"/>
          <w:numId w:val="49"/>
        </w:numPr>
        <w:shd w:val="clear" w:color="auto" w:fill="FFFFFF"/>
        <w:spacing w:before="240" w:beforeAutospacing="1" w:after="100" w:afterAutospacing="1"/>
        <w:jc w:val="both"/>
        <w:rPr>
          <w:rFonts w:cs="Arial"/>
          <w:szCs w:val="20"/>
        </w:rPr>
      </w:pPr>
      <w:r w:rsidRPr="009779E8">
        <w:rPr>
          <w:rFonts w:cs="Arial"/>
          <w:szCs w:val="20"/>
        </w:rPr>
        <w:t>La garantie : elle est double</w:t>
      </w:r>
    </w:p>
    <w:p w14:paraId="0693B7D7" w14:textId="77777777" w:rsidR="009779E8" w:rsidRPr="009779E8" w:rsidRDefault="009779E8" w:rsidP="0086187F">
      <w:pPr>
        <w:numPr>
          <w:ilvl w:val="1"/>
          <w:numId w:val="49"/>
        </w:numPr>
        <w:shd w:val="clear" w:color="auto" w:fill="FFFFFF"/>
        <w:tabs>
          <w:tab w:val="clear" w:pos="1080"/>
          <w:tab w:val="num" w:pos="709"/>
        </w:tabs>
        <w:spacing w:before="100" w:beforeAutospacing="1" w:after="100" w:afterAutospacing="1"/>
        <w:ind w:left="709" w:hanging="345"/>
        <w:jc w:val="both"/>
        <w:rPr>
          <w:rFonts w:cs="Arial"/>
          <w:szCs w:val="20"/>
        </w:rPr>
      </w:pPr>
      <w:r w:rsidRPr="009779E8">
        <w:rPr>
          <w:rFonts w:cs="Arial"/>
          <w:szCs w:val="20"/>
        </w:rPr>
        <w:t>La garantie d’éviction : c’est l’assurance que doit le vendeur à son acheteur de jouir en toute tranquillité de la chose qu’il vient d’acheter. Il doit par exemple garantir à l’acheteur qu’aucun tiers n’a de droits sur le bien qu’il vient de vendre (ainsi le receleur-vendeur ne peut garantir une jouissance paisible de la chose car la victime du vol garde un droit sur le bien).</w:t>
      </w:r>
    </w:p>
    <w:p w14:paraId="0693B7D8" w14:textId="77777777" w:rsidR="009779E8" w:rsidRPr="009779E8" w:rsidRDefault="009779E8" w:rsidP="0086187F">
      <w:pPr>
        <w:numPr>
          <w:ilvl w:val="1"/>
          <w:numId w:val="49"/>
        </w:numPr>
        <w:shd w:val="clear" w:color="auto" w:fill="FFFFFF"/>
        <w:tabs>
          <w:tab w:val="clear" w:pos="1080"/>
          <w:tab w:val="num" w:pos="709"/>
        </w:tabs>
        <w:spacing w:before="100" w:beforeAutospacing="1" w:after="100" w:afterAutospacing="1"/>
        <w:ind w:left="709" w:hanging="345"/>
        <w:jc w:val="both"/>
        <w:rPr>
          <w:rFonts w:cs="Arial"/>
          <w:szCs w:val="20"/>
        </w:rPr>
      </w:pPr>
      <w:r w:rsidRPr="009779E8">
        <w:rPr>
          <w:rFonts w:cs="Arial"/>
          <w:szCs w:val="20"/>
        </w:rPr>
        <w:t>La garantie des vices cachés : elle doit garantir l'acheteur (professionnel comme particulier) contre tous les défauts cachés du bien vendu.  Cette garantie n’est applicable que si le vice rend la chose achetée impropre à l'usage auquel elle est destinée ; s’il est ignoré de l'acheteur au moment de l’achat et s’il existe au moment de l'achat. Pour en bénéficier l’acheteur doit agir en justice dans un « bref délai ». Une directive européenne en date du 25 mai 1999 et transposé en droit français depuis le 1er janvier 2002 a réformé la garantie des vices cachés. Le « bref délai » de l’article 1648 est précis</w:t>
      </w:r>
      <w:r>
        <w:rPr>
          <w:rFonts w:cs="Arial"/>
          <w:szCs w:val="20"/>
        </w:rPr>
        <w:t>é par de nouvelles dispositions </w:t>
      </w:r>
      <w:r>
        <w:t>:</w:t>
      </w:r>
      <w:r w:rsidRPr="009779E8">
        <w:rPr>
          <w:rFonts w:cs="Arial"/>
          <w:szCs w:val="20"/>
        </w:rPr>
        <w:t xml:space="preserve"> le consommateur dispose de deux mois pour dénoncer le défaut à partir du moment de sa découverte. Ce délai se prescrit au bout de deux ans. Par ailleurs, le client n’a pas à prouver l’antériorité du vice si le bien tombe en panne dans un délai de six mois de l’achat. En cas de vices cachés le consommateur peut maintenant exercer quatre choix. Il peut, dans un premier temps exiger, soit la réparation, soit le remplacement du bien. Puis si ces solutions ne sont pas satisfaisantes, demander la réduction du prix ou l’annulation de la vente.</w:t>
      </w:r>
    </w:p>
    <w:p w14:paraId="0693B7D9" w14:textId="77777777" w:rsidR="009779E8" w:rsidRPr="009779E8" w:rsidRDefault="009779E8" w:rsidP="001F7D23">
      <w:pPr>
        <w:pStyle w:val="Titre4"/>
      </w:pPr>
      <w:bookmarkStart w:id="343" w:name="B2"/>
      <w:bookmarkEnd w:id="343"/>
      <w:r w:rsidRPr="009779E8">
        <w:t>Les obligations de l’acheteur</w:t>
      </w:r>
    </w:p>
    <w:p w14:paraId="0693B7DA" w14:textId="77777777" w:rsidR="009779E8" w:rsidRPr="009779E8" w:rsidRDefault="009779E8" w:rsidP="009779E8">
      <w:pPr>
        <w:pStyle w:val="text"/>
        <w:shd w:val="clear" w:color="auto" w:fill="FFFFFF"/>
        <w:jc w:val="both"/>
        <w:rPr>
          <w:rFonts w:ascii="Trebuchet MS" w:hAnsi="Trebuchet MS" w:cs="Arial"/>
          <w:sz w:val="20"/>
          <w:szCs w:val="20"/>
        </w:rPr>
      </w:pPr>
      <w:r w:rsidRPr="009779E8">
        <w:rPr>
          <w:rFonts w:ascii="Trebuchet MS" w:hAnsi="Trebuchet MS" w:cs="Arial"/>
          <w:sz w:val="20"/>
          <w:szCs w:val="20"/>
        </w:rPr>
        <w:t>L’acheteur a deux obligations :</w:t>
      </w:r>
    </w:p>
    <w:p w14:paraId="0693B7DB" w14:textId="77777777" w:rsidR="009779E8" w:rsidRDefault="009779E8" w:rsidP="0086187F">
      <w:pPr>
        <w:numPr>
          <w:ilvl w:val="0"/>
          <w:numId w:val="50"/>
        </w:numPr>
        <w:shd w:val="clear" w:color="auto" w:fill="FFFFFF"/>
        <w:spacing w:before="100" w:beforeAutospacing="1"/>
        <w:jc w:val="both"/>
        <w:rPr>
          <w:rFonts w:cs="Arial"/>
          <w:szCs w:val="20"/>
        </w:rPr>
      </w:pPr>
      <w:r w:rsidRPr="009779E8">
        <w:rPr>
          <w:rFonts w:cs="Arial"/>
          <w:szCs w:val="20"/>
        </w:rPr>
        <w:t>le paiement du prix. Un versement d’arrhes ou d’acomptes a pu avoir lieu pour garantir le paiement. Les arrhes sont versées à titre de dédit, l’acheteur peut donc renoncer à son achat en abandonnant la somme versée à l’avance ; le vendeur peut faire de même en abandonnant le double de cette somme à l’acheteur. L’acompte ne permet pas, par contre de se dédire ; il vient simplement en déduction de la somme à verser.</w:t>
      </w:r>
    </w:p>
    <w:p w14:paraId="0693B7DC" w14:textId="77777777" w:rsidR="009779E8" w:rsidRPr="009779E8" w:rsidRDefault="009779E8" w:rsidP="009779E8">
      <w:pPr>
        <w:shd w:val="clear" w:color="auto" w:fill="FFFFFF"/>
        <w:jc w:val="both"/>
        <w:rPr>
          <w:rFonts w:cs="Arial"/>
          <w:szCs w:val="20"/>
        </w:rPr>
      </w:pPr>
    </w:p>
    <w:p w14:paraId="0693B7DD" w14:textId="77777777" w:rsidR="009779E8" w:rsidRPr="009779E8" w:rsidRDefault="009779E8" w:rsidP="0086187F">
      <w:pPr>
        <w:numPr>
          <w:ilvl w:val="0"/>
          <w:numId w:val="50"/>
        </w:numPr>
        <w:shd w:val="clear" w:color="auto" w:fill="FFFFFF"/>
        <w:spacing w:after="100" w:afterAutospacing="1"/>
        <w:jc w:val="both"/>
        <w:rPr>
          <w:rFonts w:cs="Arial"/>
          <w:szCs w:val="20"/>
        </w:rPr>
      </w:pPr>
      <w:r w:rsidRPr="009779E8">
        <w:rPr>
          <w:rFonts w:cs="Arial"/>
          <w:szCs w:val="20"/>
        </w:rPr>
        <w:t>Le retirement du bien : une fois la vente conclue, l’acheteur n’a plus le droit de changer d’avis ; il doit prendre livraison à la date prévue.  Le défaut de retirement peut exposer l’acheteur à des dommages et intérêts si son retard a provoqué un préjudice chez le vendeur.</w:t>
      </w:r>
    </w:p>
    <w:p w14:paraId="0693B7DE" w14:textId="77777777" w:rsidR="009779E8" w:rsidRPr="009779E8" w:rsidRDefault="009779E8" w:rsidP="009779E8"/>
    <w:p w14:paraId="0693B7DF" w14:textId="77777777" w:rsidR="00193D2A" w:rsidRDefault="00193D2A" w:rsidP="00193D2A">
      <w:pPr>
        <w:pStyle w:val="Titre3"/>
      </w:pPr>
      <w:bookmarkStart w:id="344" w:name="_Toc482815657"/>
      <w:r>
        <w:t>Types de diminutions sur le prix – Cas particuliers</w:t>
      </w:r>
      <w:bookmarkEnd w:id="344"/>
    </w:p>
    <w:p w14:paraId="0693B7E0" w14:textId="77777777" w:rsidR="00193D2A" w:rsidRPr="00630CF9" w:rsidRDefault="00105A84" w:rsidP="0086187F">
      <w:pPr>
        <w:numPr>
          <w:ilvl w:val="0"/>
          <w:numId w:val="33"/>
        </w:numPr>
        <w:spacing w:before="240"/>
        <w:rPr>
          <w:szCs w:val="20"/>
        </w:rPr>
      </w:pPr>
      <w:hyperlink r:id="rId136" w:history="1">
        <w:r w:rsidR="00193D2A" w:rsidRPr="00630CF9">
          <w:rPr>
            <w:rStyle w:val="Lienhypertexte"/>
            <w:b/>
            <w:szCs w:val="20"/>
          </w:rPr>
          <w:t>Freinte</w:t>
        </w:r>
      </w:hyperlink>
      <w:r w:rsidR="00193D2A" w:rsidRPr="00630CF9">
        <w:rPr>
          <w:szCs w:val="20"/>
        </w:rPr>
        <w:t xml:space="preserve"> : </w:t>
      </w:r>
      <w:r w:rsidR="00193D2A" w:rsidRPr="00630CF9">
        <w:rPr>
          <w:rStyle w:val="apple-style-span"/>
          <w:rFonts w:cs="Arial"/>
          <w:color w:val="000000"/>
          <w:szCs w:val="20"/>
        </w:rPr>
        <w:t>la freinte représente une diminution de la valeur d'une marchandise liée à une avarie de transport, une perte (Wikipedia).</w:t>
      </w:r>
      <w:r w:rsidR="00193D2A" w:rsidRPr="00630CF9">
        <w:rPr>
          <w:rStyle w:val="apple-converted-space"/>
          <w:rFonts w:cs="Arial"/>
          <w:color w:val="000000"/>
          <w:szCs w:val="20"/>
        </w:rPr>
        <w:t> </w:t>
      </w:r>
    </w:p>
    <w:p w14:paraId="0693B7E1" w14:textId="77777777" w:rsidR="00193D2A" w:rsidRPr="00630CF9" w:rsidRDefault="00193D2A" w:rsidP="0086187F">
      <w:pPr>
        <w:numPr>
          <w:ilvl w:val="0"/>
          <w:numId w:val="33"/>
        </w:numPr>
        <w:spacing w:before="240"/>
        <w:rPr>
          <w:b/>
          <w:szCs w:val="20"/>
        </w:rPr>
      </w:pPr>
      <w:r w:rsidRPr="00630CF9">
        <w:rPr>
          <w:b/>
          <w:szCs w:val="20"/>
        </w:rPr>
        <w:t xml:space="preserve">Coulage : </w:t>
      </w:r>
      <w:r w:rsidRPr="00630CF9">
        <w:rPr>
          <w:szCs w:val="20"/>
        </w:rPr>
        <w:t>réduction sur le prix pour cause de perte de liquide (ou de gaz) lors du transport.</w:t>
      </w:r>
    </w:p>
    <w:p w14:paraId="0693B7E2" w14:textId="77777777" w:rsidR="00193D2A" w:rsidRPr="00630CF9" w:rsidRDefault="00105A84" w:rsidP="0086187F">
      <w:pPr>
        <w:numPr>
          <w:ilvl w:val="0"/>
          <w:numId w:val="33"/>
        </w:numPr>
        <w:spacing w:before="240"/>
        <w:jc w:val="both"/>
        <w:rPr>
          <w:b/>
          <w:szCs w:val="20"/>
        </w:rPr>
      </w:pPr>
      <w:hyperlink r:id="rId137" w:history="1">
        <w:r w:rsidR="00193D2A" w:rsidRPr="00630CF9">
          <w:rPr>
            <w:rStyle w:val="Lienhypertexte"/>
            <w:b/>
            <w:szCs w:val="20"/>
          </w:rPr>
          <w:t>Réfaction</w:t>
        </w:r>
        <w:r w:rsidR="00193D2A" w:rsidRPr="00630CF9">
          <w:rPr>
            <w:rStyle w:val="Lienhypertexte"/>
            <w:b/>
            <w:szCs w:val="20"/>
            <w:u w:val="none"/>
          </w:rPr>
          <w:t> </w:t>
        </w:r>
      </w:hyperlink>
      <w:r w:rsidR="00193D2A" w:rsidRPr="00630CF9">
        <w:rPr>
          <w:szCs w:val="20"/>
        </w:rPr>
        <w:t>: réduction de prix pour cause de présence de corps étrangers dans la marchandise.</w:t>
      </w:r>
    </w:p>
    <w:p w14:paraId="0693B7E3" w14:textId="77777777" w:rsidR="004C64BF" w:rsidRDefault="004C64BF" w:rsidP="00105A84">
      <w:pPr>
        <w:pStyle w:val="Titre2"/>
      </w:pPr>
      <w:bookmarkStart w:id="345" w:name="Contrat_de_transport_850008457"/>
      <w:bookmarkStart w:id="346" w:name="_Toc482815658"/>
      <w:bookmarkEnd w:id="345"/>
      <w:r>
        <w:t xml:space="preserve">Contrats de </w:t>
      </w:r>
      <w:hyperlink r:id="rId138" w:history="1">
        <w:bookmarkStart w:id="347" w:name="hp2g"/>
        <w:r>
          <w:rPr>
            <w:color w:val="0000FF"/>
            <w:u w:val="single"/>
          </w:rPr>
          <w:t>transport</w:t>
        </w:r>
        <w:bookmarkEnd w:id="346"/>
      </w:hyperlink>
      <w:bookmarkEnd w:id="347"/>
      <w:r>
        <w:t xml:space="preserve"> </w:t>
      </w:r>
    </w:p>
    <w:p w14:paraId="0693B7E4" w14:textId="77777777" w:rsidR="00C81379" w:rsidRDefault="00C81379" w:rsidP="00C81379">
      <w:r>
        <w:t>Voir détails en cliquant sur le lien ci-dessus, son contenu ne pouvant figurer ici pour des raisons de droit d’auteur.</w:t>
      </w:r>
    </w:p>
    <w:p w14:paraId="1BDB8A4E" w14:textId="50559625" w:rsidR="00DF3B07" w:rsidRPr="008D140F" w:rsidRDefault="00DF3B07" w:rsidP="00DF3B07">
      <w:pPr>
        <w:spacing w:before="240"/>
      </w:pPr>
      <w:r>
        <w:t>Voir également Chamilo, rubrique « Documents », Connaissances de gestion de base.</w:t>
      </w:r>
    </w:p>
    <w:p w14:paraId="0C0D61CC" w14:textId="786D802F" w:rsidR="00DF3B07" w:rsidRPr="00C81379" w:rsidRDefault="00DF3B07" w:rsidP="00DF3B07">
      <w:pPr>
        <w:spacing w:before="240"/>
      </w:pPr>
    </w:p>
    <w:p w14:paraId="0693B7E5" w14:textId="77777777" w:rsidR="004C64BF" w:rsidRDefault="004C64BF" w:rsidP="00105A84">
      <w:pPr>
        <w:pStyle w:val="Titre2"/>
      </w:pPr>
      <w:bookmarkStart w:id="348" w:name="Contrat_d_assurance_6257991549"/>
      <w:bookmarkStart w:id="349" w:name="_Toc482815659"/>
      <w:bookmarkEnd w:id="348"/>
      <w:r>
        <w:t xml:space="preserve">Contrats </w:t>
      </w:r>
      <w:hyperlink r:id="rId139" w:history="1">
        <w:bookmarkStart w:id="350" w:name="l6e7"/>
        <w:r>
          <w:rPr>
            <w:color w:val="0000FF"/>
            <w:u w:val="single"/>
          </w:rPr>
          <w:t>d'assurance</w:t>
        </w:r>
        <w:bookmarkEnd w:id="349"/>
      </w:hyperlink>
      <w:bookmarkEnd w:id="350"/>
      <w:r>
        <w:t xml:space="preserve"> </w:t>
      </w:r>
    </w:p>
    <w:p w14:paraId="0693B7E6" w14:textId="77777777" w:rsidR="0090102D" w:rsidRPr="009051DD" w:rsidRDefault="0090102D" w:rsidP="009051DD">
      <w:pPr>
        <w:pStyle w:val="Titre3"/>
      </w:pPr>
      <w:bookmarkStart w:id="351" w:name="_Toc482815660"/>
      <w:r w:rsidRPr="009051DD">
        <w:t>Classification</w:t>
      </w:r>
      <w:bookmarkEnd w:id="351"/>
    </w:p>
    <w:p w14:paraId="0693B7E7" w14:textId="77777777" w:rsidR="0090102D" w:rsidRPr="00630CF9" w:rsidRDefault="0090102D" w:rsidP="0090102D">
      <w:pPr>
        <w:spacing w:before="240"/>
        <w:jc w:val="both"/>
        <w:rPr>
          <w:szCs w:val="20"/>
        </w:rPr>
      </w:pPr>
      <w:r w:rsidRPr="00630CF9">
        <w:rPr>
          <w:szCs w:val="20"/>
        </w:rPr>
        <w:t>Techniquement parlant, il peut exister des assurances pour (presque) n'importe quoi.</w:t>
      </w:r>
    </w:p>
    <w:p w14:paraId="0693B7E8" w14:textId="77777777" w:rsidR="0090102D" w:rsidRPr="00630CF9" w:rsidRDefault="0090102D" w:rsidP="0090102D">
      <w:pPr>
        <w:spacing w:before="240"/>
        <w:jc w:val="both"/>
        <w:rPr>
          <w:szCs w:val="20"/>
        </w:rPr>
      </w:pPr>
      <w:r w:rsidRPr="00630CF9">
        <w:rPr>
          <w:b/>
          <w:bCs/>
          <w:szCs w:val="20"/>
        </w:rPr>
        <w:t>Assurances “ de sommes ” :</w:t>
      </w:r>
      <w:r w:rsidRPr="00630CF9">
        <w:rPr>
          <w:szCs w:val="20"/>
        </w:rPr>
        <w:t xml:space="preserve"> Ce sont en fait des assurances de personnes (exemple : un contrat d'assurance vie). C'est-à-dire qu'un paiement, en cas de sinistre, est prédéterminé indépendamment du préjudice. Ce type d'assurance est cumulable avec d'autres assurances de sommes (= de personnes). Mais la subrogation (à savoir transmettre ses droits juridiques à une autre personne) n'est toutefois pas possible. </w:t>
      </w:r>
    </w:p>
    <w:p w14:paraId="0693B7E9" w14:textId="77777777" w:rsidR="0090102D" w:rsidRPr="00630CF9" w:rsidRDefault="0090102D" w:rsidP="0090102D">
      <w:pPr>
        <w:spacing w:before="240"/>
        <w:jc w:val="both"/>
        <w:rPr>
          <w:szCs w:val="20"/>
        </w:rPr>
      </w:pPr>
      <w:r w:rsidRPr="00630CF9">
        <w:rPr>
          <w:b/>
          <w:bCs/>
          <w:szCs w:val="20"/>
        </w:rPr>
        <w:t>Assurances “ de choses ” :</w:t>
      </w:r>
      <w:r w:rsidRPr="00630CF9">
        <w:rPr>
          <w:szCs w:val="20"/>
        </w:rPr>
        <w:t xml:space="preserve"> Ce sont des assurances couvrant des dommages (exemple : un contrat d'assurance contre le vol). Ici, le montant du paiement sera fixé en fonction du préjudice. Ce paiement ne dépassera jamais l'indemnité, c'est-à-dire la valeur de remplacement ou la valeur du dommage. Le problème, pour ce type d'assurances, réside dans la fourniture de la preuve, tant de la réalisation du dommage que du préjudice </w:t>
      </w:r>
      <w:r w:rsidR="00B7230A" w:rsidRPr="00630CF9">
        <w:rPr>
          <w:szCs w:val="20"/>
        </w:rPr>
        <w:t>subi</w:t>
      </w:r>
      <w:r w:rsidRPr="00630CF9">
        <w:rPr>
          <w:szCs w:val="20"/>
        </w:rPr>
        <w:t>. La subrogation de telles assurances est possible. Autrement dit, lors de la vente d'un bien (assuré contre le vol, par exemple) à une autre personne, le contrat d'assurance lié à ce bien peut-être transmis à l'acquéreur (attention, ce n'est pas automatique, il faut évidemment prévenir l'assureur…)</w:t>
      </w:r>
    </w:p>
    <w:p w14:paraId="0693B7EA" w14:textId="77777777" w:rsidR="0090102D" w:rsidRPr="009051DD" w:rsidRDefault="0090102D" w:rsidP="009051DD">
      <w:pPr>
        <w:pStyle w:val="Titre3"/>
      </w:pPr>
      <w:bookmarkStart w:id="352" w:name="_Toc482815661"/>
      <w:r w:rsidRPr="009051DD">
        <w:t>Catégories</w:t>
      </w:r>
      <w:bookmarkEnd w:id="352"/>
    </w:p>
    <w:p w14:paraId="0693B7EB" w14:textId="77777777" w:rsidR="0090102D" w:rsidRPr="00630CF9" w:rsidRDefault="0090102D" w:rsidP="0090102D">
      <w:pPr>
        <w:spacing w:before="240"/>
        <w:jc w:val="both"/>
        <w:rPr>
          <w:szCs w:val="20"/>
        </w:rPr>
      </w:pPr>
      <w:r w:rsidRPr="00630CF9">
        <w:rPr>
          <w:szCs w:val="20"/>
        </w:rPr>
        <w:t xml:space="preserve">Comme assureurs, nous trouvons les </w:t>
      </w:r>
      <w:r w:rsidRPr="00630CF9">
        <w:rPr>
          <w:i/>
          <w:iCs/>
          <w:szCs w:val="20"/>
        </w:rPr>
        <w:t>compagnies à primes fixes</w:t>
      </w:r>
      <w:r w:rsidRPr="00630CF9">
        <w:rPr>
          <w:szCs w:val="20"/>
        </w:rPr>
        <w:t xml:space="preserve">, les </w:t>
      </w:r>
      <w:r w:rsidRPr="00630CF9">
        <w:rPr>
          <w:i/>
          <w:iCs/>
          <w:szCs w:val="20"/>
        </w:rPr>
        <w:t>sociétés mutuelles d'assurance</w:t>
      </w:r>
      <w:r w:rsidRPr="00630CF9">
        <w:rPr>
          <w:szCs w:val="20"/>
        </w:rPr>
        <w:t xml:space="preserve">, et les </w:t>
      </w:r>
      <w:r w:rsidRPr="00630CF9">
        <w:rPr>
          <w:i/>
          <w:iCs/>
          <w:szCs w:val="20"/>
        </w:rPr>
        <w:t>sociétés de crédit</w:t>
      </w:r>
      <w:r w:rsidRPr="00630CF9">
        <w:rPr>
          <w:szCs w:val="20"/>
        </w:rPr>
        <w:t xml:space="preserve"> (cf. les banques)</w:t>
      </w:r>
    </w:p>
    <w:p w14:paraId="0693B7EC" w14:textId="77777777" w:rsidR="0090102D" w:rsidRPr="009051DD" w:rsidRDefault="0090102D" w:rsidP="009051DD">
      <w:pPr>
        <w:pStyle w:val="Titre3"/>
      </w:pPr>
      <w:bookmarkStart w:id="353" w:name="_Toc482815662"/>
      <w:r w:rsidRPr="009051DD">
        <w:lastRenderedPageBreak/>
        <w:t>Fonction</w:t>
      </w:r>
      <w:bookmarkEnd w:id="353"/>
    </w:p>
    <w:p w14:paraId="0693B7ED" w14:textId="77777777" w:rsidR="0090102D" w:rsidRPr="00630CF9" w:rsidRDefault="0090102D" w:rsidP="0090102D">
      <w:pPr>
        <w:spacing w:before="240"/>
        <w:jc w:val="both"/>
        <w:rPr>
          <w:szCs w:val="20"/>
        </w:rPr>
      </w:pPr>
      <w:r w:rsidRPr="00630CF9">
        <w:rPr>
          <w:b/>
          <w:bCs/>
          <w:szCs w:val="20"/>
        </w:rPr>
        <w:t>Techniquement :</w:t>
      </w:r>
      <w:r w:rsidRPr="00630CF9">
        <w:rPr>
          <w:szCs w:val="20"/>
        </w:rPr>
        <w:t xml:space="preserve"> les assureurs procèdent régulièrement à des contrôles et des vérifications des tarifs. Les services de prévision des sinistres veillent, notamment, </w:t>
      </w:r>
      <w:r w:rsidR="00335053" w:rsidRPr="00630CF9">
        <w:rPr>
          <w:szCs w:val="20"/>
        </w:rPr>
        <w:t>à</w:t>
      </w:r>
      <w:r w:rsidRPr="00630CF9">
        <w:rPr>
          <w:szCs w:val="20"/>
        </w:rPr>
        <w:t xml:space="preserve"> augmenter la sécurité. Ce qui a pour conséquence de diminuer les sinistres, et par là même les tarifs.</w:t>
      </w:r>
    </w:p>
    <w:p w14:paraId="0693B7EE" w14:textId="77777777" w:rsidR="0090102D" w:rsidRPr="00630CF9" w:rsidRDefault="0090102D" w:rsidP="0090102D">
      <w:pPr>
        <w:spacing w:before="240"/>
        <w:jc w:val="both"/>
        <w:rPr>
          <w:szCs w:val="20"/>
        </w:rPr>
      </w:pPr>
      <w:r w:rsidRPr="00630CF9">
        <w:rPr>
          <w:b/>
          <w:bCs/>
          <w:szCs w:val="20"/>
        </w:rPr>
        <w:t>Commercialement :</w:t>
      </w:r>
      <w:r w:rsidRPr="00630CF9">
        <w:rPr>
          <w:szCs w:val="20"/>
        </w:rPr>
        <w:t xml:space="preserve"> Ce sont les agents d'assurances qui jouent ce rôle (compagnies d'assurance) ou les courtiers. Ces derniers sont des indépendants dont la profession est réglementée. Les agents proposent des produits issus de la même compagnie. Par conséquent, l'avantage réside en ce qu'ils peuvent proposer des formules globales et, parfois, des avantages tarifaires si plusieurs polices sont prises. Autre avantage : homogénéité des produits. Par contre les courtiers, qui ne sont pas liés à une compagnie particulière, peuvent dénicher le contrat le plus avantageux pour le client, en allant faire leur marché dans les dif</w:t>
      </w:r>
      <w:r w:rsidR="006A517F" w:rsidRPr="00630CF9">
        <w:rPr>
          <w:szCs w:val="20"/>
        </w:rPr>
        <w:t>férentes compagnies. Le service</w:t>
      </w:r>
      <w:r w:rsidRPr="00630CF9">
        <w:rPr>
          <w:szCs w:val="20"/>
        </w:rPr>
        <w:t xml:space="preserve"> est souvent plus personnalisé.</w:t>
      </w:r>
    </w:p>
    <w:p w14:paraId="0693B7EF" w14:textId="77777777" w:rsidR="0090102D" w:rsidRPr="009051DD" w:rsidRDefault="0090102D" w:rsidP="009051DD">
      <w:pPr>
        <w:pStyle w:val="Titre3"/>
      </w:pPr>
      <w:bookmarkStart w:id="354" w:name="_Toc482815663"/>
      <w:r w:rsidRPr="009051DD">
        <w:t>Office de Contrôle des Assureurs</w:t>
      </w:r>
      <w:r w:rsidR="00987721">
        <w:t xml:space="preserve"> + FSMA</w:t>
      </w:r>
      <w:bookmarkEnd w:id="354"/>
    </w:p>
    <w:p w14:paraId="0693B7F0" w14:textId="77777777" w:rsidR="0090102D" w:rsidRPr="00630CF9" w:rsidRDefault="0090102D" w:rsidP="0090102D">
      <w:pPr>
        <w:spacing w:before="240"/>
        <w:jc w:val="both"/>
        <w:rPr>
          <w:szCs w:val="20"/>
        </w:rPr>
      </w:pPr>
      <w:r w:rsidRPr="00630CF9">
        <w:rPr>
          <w:szCs w:val="20"/>
        </w:rPr>
        <w:t>Cet organisme veille à la protection des créanciers, surveille la solvabilité, les marges, les tarifs, les réserves et les polices des compagnie</w:t>
      </w:r>
      <w:r w:rsidR="006A517F" w:rsidRPr="00630CF9">
        <w:rPr>
          <w:szCs w:val="20"/>
        </w:rPr>
        <w:t>s</w:t>
      </w:r>
      <w:r w:rsidRPr="00630CF9">
        <w:rPr>
          <w:szCs w:val="20"/>
        </w:rPr>
        <w:t xml:space="preserve"> d'assurance. Il évalue aussi les risques. Il est à noter que les éventuels déficits des assureurs sont compensés par les placements qu'ils effectuent avec l'argent des polices. Voilà une raison de plus qui a contribué au rapprochement des assureurs et des banquiers.</w:t>
      </w:r>
    </w:p>
    <w:p w14:paraId="0693B7F1" w14:textId="77777777" w:rsidR="0090102D" w:rsidRPr="009051DD" w:rsidRDefault="0090102D" w:rsidP="009051DD">
      <w:pPr>
        <w:pStyle w:val="Titre3"/>
      </w:pPr>
      <w:bookmarkStart w:id="355" w:name="_Toc482815664"/>
      <w:r w:rsidRPr="009051DD">
        <w:t>Notion de risque</w:t>
      </w:r>
      <w:bookmarkEnd w:id="355"/>
    </w:p>
    <w:p w14:paraId="0693B7F2" w14:textId="77777777" w:rsidR="0090102D" w:rsidRPr="00630CF9" w:rsidRDefault="0090102D" w:rsidP="0090102D">
      <w:pPr>
        <w:spacing w:before="240"/>
        <w:jc w:val="both"/>
        <w:rPr>
          <w:szCs w:val="20"/>
        </w:rPr>
      </w:pPr>
      <w:r w:rsidRPr="00630CF9">
        <w:rPr>
          <w:szCs w:val="20"/>
        </w:rPr>
        <w:t xml:space="preserve">Le risque assuré doit être </w:t>
      </w:r>
      <w:r w:rsidRPr="00630CF9">
        <w:rPr>
          <w:i/>
          <w:iCs/>
          <w:szCs w:val="20"/>
        </w:rPr>
        <w:t>incertain et possible</w:t>
      </w:r>
      <w:r w:rsidRPr="00630CF9">
        <w:rPr>
          <w:szCs w:val="20"/>
        </w:rPr>
        <w:t xml:space="preserve">. </w:t>
      </w:r>
    </w:p>
    <w:p w14:paraId="0693B7F3" w14:textId="77777777" w:rsidR="0090102D" w:rsidRPr="00630CF9" w:rsidRDefault="0090102D" w:rsidP="0090102D">
      <w:pPr>
        <w:spacing w:before="240"/>
        <w:jc w:val="both"/>
        <w:rPr>
          <w:szCs w:val="20"/>
        </w:rPr>
      </w:pPr>
      <w:r w:rsidRPr="00630CF9">
        <w:rPr>
          <w:b/>
          <w:bCs/>
          <w:szCs w:val="20"/>
        </w:rPr>
        <w:t>Appréciation du risque :</w:t>
      </w:r>
      <w:r w:rsidRPr="00630CF9">
        <w:rPr>
          <w:szCs w:val="20"/>
        </w:rPr>
        <w:t xml:space="preserve"> Il doit y avoir une estimation du dommage, ainsi qu'une évaluation de sa survenance. Des éléments aussi bien objectifs que subjectifs peuvent entrer en ligne de compte.</w:t>
      </w:r>
    </w:p>
    <w:p w14:paraId="0693B7F4" w14:textId="77777777" w:rsidR="0090102D" w:rsidRPr="00630CF9" w:rsidRDefault="0090102D" w:rsidP="0090102D">
      <w:pPr>
        <w:spacing w:before="240"/>
        <w:jc w:val="both"/>
        <w:rPr>
          <w:szCs w:val="20"/>
        </w:rPr>
      </w:pPr>
      <w:r w:rsidRPr="00630CF9">
        <w:rPr>
          <w:b/>
          <w:bCs/>
          <w:szCs w:val="20"/>
        </w:rPr>
        <w:t>Procédure :</w:t>
      </w:r>
      <w:r w:rsidRPr="00630CF9">
        <w:rPr>
          <w:szCs w:val="20"/>
        </w:rPr>
        <w:t xml:space="preserve"> Après questionnaire, une </w:t>
      </w:r>
      <w:r w:rsidRPr="00630CF9">
        <w:rPr>
          <w:i/>
          <w:iCs/>
          <w:szCs w:val="20"/>
        </w:rPr>
        <w:t>proposition d'assurance</w:t>
      </w:r>
      <w:r w:rsidRPr="00630CF9">
        <w:rPr>
          <w:szCs w:val="20"/>
        </w:rPr>
        <w:t xml:space="preserve"> est avancée, puis, éventuellement une </w:t>
      </w:r>
      <w:r w:rsidRPr="00630CF9">
        <w:rPr>
          <w:i/>
          <w:iCs/>
          <w:szCs w:val="20"/>
        </w:rPr>
        <w:t>lettre de couverture provisoire</w:t>
      </w:r>
      <w:r w:rsidRPr="00630CF9">
        <w:rPr>
          <w:szCs w:val="20"/>
        </w:rPr>
        <w:t xml:space="preserve"> est envoyée à l'assuré, quand ce n'est pas directement la </w:t>
      </w:r>
      <w:r w:rsidRPr="00630CF9">
        <w:rPr>
          <w:i/>
          <w:iCs/>
          <w:szCs w:val="20"/>
        </w:rPr>
        <w:t>police d'assurance</w:t>
      </w:r>
      <w:r w:rsidRPr="00630CF9">
        <w:rPr>
          <w:szCs w:val="20"/>
        </w:rPr>
        <w:t xml:space="preserve"> elle-même, à laquelle, dans le futur, d'éventuels </w:t>
      </w:r>
      <w:r w:rsidRPr="00630CF9">
        <w:rPr>
          <w:i/>
          <w:iCs/>
          <w:szCs w:val="20"/>
        </w:rPr>
        <w:t>avenants</w:t>
      </w:r>
      <w:r w:rsidRPr="00630CF9">
        <w:rPr>
          <w:szCs w:val="20"/>
        </w:rPr>
        <w:t xml:space="preserve"> (c'est-à-dire des modifications) sont apportés au contrat de base initial). Des vérifications peuvent être affectées par l'assureur.  Une des obligations de l'assuré est de prévenir son assureur en cas de modification du risque.</w:t>
      </w:r>
    </w:p>
    <w:p w14:paraId="0693B7F5" w14:textId="77777777" w:rsidR="0090102D" w:rsidRPr="00630CF9" w:rsidRDefault="0090102D" w:rsidP="0090102D">
      <w:pPr>
        <w:spacing w:before="240"/>
        <w:jc w:val="both"/>
        <w:rPr>
          <w:szCs w:val="20"/>
        </w:rPr>
      </w:pPr>
      <w:r w:rsidRPr="00630CF9">
        <w:rPr>
          <w:b/>
          <w:bCs/>
          <w:szCs w:val="20"/>
        </w:rPr>
        <w:t>Compensation du risque :</w:t>
      </w:r>
      <w:r w:rsidRPr="00630CF9">
        <w:rPr>
          <w:szCs w:val="20"/>
        </w:rPr>
        <w:t xml:space="preserve"> Les risques couverts par les assureurs sont soit coassurés, c'est-à-dire que plusieurs sociétés d'assurance s'assemblent pour couvrir le risque ; soit réassurés, c'est-à-dire que la société d'assurance elle-même souscrit une assurance pour se couvrir pour un contrat ou un ensemble de contrats donnés.</w:t>
      </w:r>
    </w:p>
    <w:p w14:paraId="0693B7F6" w14:textId="77777777" w:rsidR="0090102D" w:rsidRPr="00630CF9" w:rsidRDefault="0090102D" w:rsidP="0090102D">
      <w:pPr>
        <w:spacing w:before="240"/>
        <w:jc w:val="both"/>
        <w:rPr>
          <w:szCs w:val="20"/>
        </w:rPr>
      </w:pPr>
      <w:r w:rsidRPr="00630CF9">
        <w:rPr>
          <w:b/>
          <w:bCs/>
          <w:szCs w:val="20"/>
        </w:rPr>
        <w:t>Prime :</w:t>
      </w:r>
      <w:r w:rsidRPr="00630CF9">
        <w:rPr>
          <w:szCs w:val="20"/>
        </w:rPr>
        <w:t xml:space="preserve"> Il existe ce que l'on appelle</w:t>
      </w:r>
      <w:r w:rsidR="00645302" w:rsidRPr="00630CF9">
        <w:rPr>
          <w:szCs w:val="20"/>
        </w:rPr>
        <w:t xml:space="preserve"> dans le jargon des assureurs la</w:t>
      </w:r>
      <w:r w:rsidRPr="00630CF9">
        <w:rPr>
          <w:szCs w:val="20"/>
        </w:rPr>
        <w:t xml:space="preserve"> </w:t>
      </w:r>
      <w:r w:rsidRPr="00630CF9">
        <w:rPr>
          <w:i/>
          <w:iCs/>
          <w:szCs w:val="20"/>
        </w:rPr>
        <w:t>prime pure</w:t>
      </w:r>
      <w:r w:rsidRPr="00630CF9">
        <w:rPr>
          <w:szCs w:val="20"/>
        </w:rPr>
        <w:t xml:space="preserve">, c'est-à-dire la prime proprement dite, ou prime nette, celle qui couvre le risque. Il existe également la </w:t>
      </w:r>
      <w:r w:rsidRPr="00630CF9">
        <w:rPr>
          <w:i/>
          <w:iCs/>
          <w:szCs w:val="20"/>
        </w:rPr>
        <w:t>prime commerciale</w:t>
      </w:r>
      <w:r w:rsidRPr="00630CF9">
        <w:rPr>
          <w:szCs w:val="20"/>
        </w:rPr>
        <w:t xml:space="preserve">. C'est la prime pure augmentée du bénéfice et des frais de gestion de l'assureur. Enfin, il y a la </w:t>
      </w:r>
      <w:r w:rsidRPr="00630CF9">
        <w:rPr>
          <w:i/>
          <w:iCs/>
          <w:szCs w:val="20"/>
        </w:rPr>
        <w:t>prime à payer</w:t>
      </w:r>
      <w:r w:rsidRPr="00630CF9">
        <w:rPr>
          <w:szCs w:val="20"/>
        </w:rPr>
        <w:t>. C'est la prime commerciale augmentée des taxes.</w:t>
      </w:r>
    </w:p>
    <w:p w14:paraId="0693B7F7" w14:textId="77777777" w:rsidR="0090102D" w:rsidRPr="00630CF9" w:rsidRDefault="0090102D" w:rsidP="0090102D">
      <w:pPr>
        <w:spacing w:before="240"/>
        <w:jc w:val="both"/>
        <w:rPr>
          <w:szCs w:val="20"/>
        </w:rPr>
      </w:pPr>
      <w:r w:rsidRPr="00630CF9">
        <w:rPr>
          <w:b/>
          <w:bCs/>
          <w:szCs w:val="20"/>
        </w:rPr>
        <w:t>Sociétés d'</w:t>
      </w:r>
      <w:r w:rsidR="006A517F" w:rsidRPr="00630CF9">
        <w:rPr>
          <w:b/>
          <w:bCs/>
          <w:szCs w:val="20"/>
        </w:rPr>
        <w:t>assistance</w:t>
      </w:r>
      <w:r w:rsidRPr="00630CF9">
        <w:rPr>
          <w:b/>
          <w:bCs/>
          <w:szCs w:val="20"/>
        </w:rPr>
        <w:t> :</w:t>
      </w:r>
      <w:r w:rsidRPr="00630CF9">
        <w:rPr>
          <w:szCs w:val="20"/>
        </w:rPr>
        <w:t xml:space="preserve"> À ne pas confondre avec les sociétés d'assurance, les sociétés d'assistance fournissent un service, une intervention. Autrement dit, ne confondons pas une société d'assistance comme </w:t>
      </w:r>
      <w:r w:rsidRPr="00630CF9">
        <w:rPr>
          <w:i/>
          <w:iCs/>
          <w:szCs w:val="20"/>
        </w:rPr>
        <w:t>Europ Assistance</w:t>
      </w:r>
      <w:r w:rsidRPr="00630CF9">
        <w:rPr>
          <w:szCs w:val="20"/>
        </w:rPr>
        <w:t xml:space="preserve">, qui n'est pas un assureur, avec la </w:t>
      </w:r>
      <w:r w:rsidRPr="00630CF9">
        <w:rPr>
          <w:i/>
          <w:iCs/>
          <w:szCs w:val="20"/>
        </w:rPr>
        <w:t>Smap</w:t>
      </w:r>
      <w:r w:rsidR="006A517F" w:rsidRPr="00630CF9">
        <w:rPr>
          <w:i/>
          <w:iCs/>
          <w:szCs w:val="20"/>
        </w:rPr>
        <w:t xml:space="preserve"> </w:t>
      </w:r>
      <w:r w:rsidR="006A517F" w:rsidRPr="00630CF9">
        <w:rPr>
          <w:iCs/>
          <w:szCs w:val="20"/>
        </w:rPr>
        <w:t>(Ethias aujourd’hui)</w:t>
      </w:r>
      <w:r w:rsidRPr="00630CF9">
        <w:rPr>
          <w:szCs w:val="20"/>
        </w:rPr>
        <w:t>, par exemple, qui en est bien une.</w:t>
      </w:r>
    </w:p>
    <w:p w14:paraId="0693B7F8" w14:textId="77777777" w:rsidR="0090102D" w:rsidRPr="009051DD" w:rsidRDefault="0090102D" w:rsidP="009051DD">
      <w:pPr>
        <w:pStyle w:val="Titre3"/>
      </w:pPr>
      <w:bookmarkStart w:id="356" w:name="_Toc482815665"/>
      <w:r w:rsidRPr="009051DD">
        <w:lastRenderedPageBreak/>
        <w:t>Caractères du contrat d'assurance</w:t>
      </w:r>
      <w:bookmarkEnd w:id="356"/>
    </w:p>
    <w:p w14:paraId="0693B7F9" w14:textId="77777777" w:rsidR="0090102D" w:rsidRPr="00630CF9" w:rsidRDefault="0090102D" w:rsidP="0090102D">
      <w:pPr>
        <w:jc w:val="both"/>
        <w:rPr>
          <w:szCs w:val="20"/>
        </w:rPr>
      </w:pPr>
      <w:r w:rsidRPr="00630CF9">
        <w:rPr>
          <w:szCs w:val="20"/>
        </w:rPr>
        <w:t>Cette matière est régie par la loi de 1873 sur les assurances terrestres et la loi sur les assurances maritimes.</w:t>
      </w:r>
    </w:p>
    <w:p w14:paraId="0693B7FA" w14:textId="77777777" w:rsidR="0090102D" w:rsidRPr="00630CF9" w:rsidRDefault="0090102D" w:rsidP="0090102D">
      <w:pPr>
        <w:spacing w:before="240"/>
        <w:jc w:val="both"/>
        <w:rPr>
          <w:szCs w:val="20"/>
        </w:rPr>
      </w:pPr>
      <w:r w:rsidRPr="00630CF9">
        <w:rPr>
          <w:b/>
          <w:bCs/>
          <w:szCs w:val="20"/>
        </w:rPr>
        <w:t>Type :</w:t>
      </w:r>
      <w:r w:rsidRPr="00630CF9">
        <w:rPr>
          <w:szCs w:val="20"/>
        </w:rPr>
        <w:t xml:space="preserve"> Le contrat d'assurance est </w:t>
      </w:r>
      <w:r w:rsidRPr="00630CF9">
        <w:rPr>
          <w:i/>
          <w:iCs/>
          <w:szCs w:val="20"/>
        </w:rPr>
        <w:t>consensuel et synallagmatique</w:t>
      </w:r>
      <w:r w:rsidRPr="00630CF9">
        <w:rPr>
          <w:szCs w:val="20"/>
        </w:rPr>
        <w:t>. Le premier terme signifie que le contrat d'assurance ne doit pas nécessairement être écrit. Le second signifie que l'assureur et l'assurés ont des obligations réciproques l'un envers l'autre.</w:t>
      </w:r>
    </w:p>
    <w:p w14:paraId="0693B7FB" w14:textId="77777777" w:rsidR="0090102D" w:rsidRPr="00630CF9" w:rsidRDefault="0090102D" w:rsidP="0090102D">
      <w:pPr>
        <w:spacing w:before="240"/>
        <w:jc w:val="both"/>
        <w:rPr>
          <w:szCs w:val="20"/>
        </w:rPr>
      </w:pPr>
      <w:r w:rsidRPr="00630CF9">
        <w:rPr>
          <w:b/>
          <w:bCs/>
          <w:szCs w:val="20"/>
        </w:rPr>
        <w:t>Notion de preuve :</w:t>
      </w:r>
      <w:r w:rsidRPr="00630CF9">
        <w:rPr>
          <w:szCs w:val="20"/>
        </w:rPr>
        <w:t xml:space="preserve"> La preuve qu'il y a bien eu dommage et préjudice doit être fournie à l'assureur. Les témoignages ou présomptions sont acceptés POUR AUTANT QU'IL Y AIT EU PRÉALABLEMENT UN DÉBUT DE PREUVE PAR ÉCRIT.</w:t>
      </w:r>
    </w:p>
    <w:p w14:paraId="0693B7FC" w14:textId="77777777" w:rsidR="0090102D" w:rsidRPr="00630CF9" w:rsidRDefault="0090102D" w:rsidP="0090102D">
      <w:pPr>
        <w:spacing w:before="240"/>
        <w:jc w:val="both"/>
        <w:rPr>
          <w:szCs w:val="20"/>
        </w:rPr>
      </w:pPr>
      <w:r w:rsidRPr="00630CF9">
        <w:rPr>
          <w:b/>
          <w:bCs/>
          <w:szCs w:val="20"/>
        </w:rPr>
        <w:t>Formation juridique du contrat d'assurance :</w:t>
      </w:r>
      <w:r w:rsidRPr="00630CF9">
        <w:rPr>
          <w:szCs w:val="20"/>
        </w:rPr>
        <w:t xml:space="preserve"> Notamment, le </w:t>
      </w:r>
      <w:r w:rsidRPr="00630CF9">
        <w:rPr>
          <w:i/>
          <w:iCs/>
          <w:szCs w:val="20"/>
        </w:rPr>
        <w:t>consentement</w:t>
      </w:r>
      <w:r w:rsidRPr="00630CF9">
        <w:rPr>
          <w:szCs w:val="20"/>
        </w:rPr>
        <w:t xml:space="preserve"> des parties doit être </w:t>
      </w:r>
      <w:r w:rsidRPr="00630CF9">
        <w:rPr>
          <w:i/>
          <w:iCs/>
          <w:szCs w:val="20"/>
        </w:rPr>
        <w:t>librement donné</w:t>
      </w:r>
      <w:r w:rsidRPr="00630CF9">
        <w:rPr>
          <w:szCs w:val="20"/>
        </w:rPr>
        <w:t xml:space="preserve">. Autrement dit, le contrat n'est pas valable quand l'assuré ou l'assureur n'est pas consentant. D'autre part, le contrat d'assurance doit avoir </w:t>
      </w:r>
      <w:r w:rsidRPr="00630CF9">
        <w:rPr>
          <w:i/>
          <w:iCs/>
          <w:szCs w:val="20"/>
        </w:rPr>
        <w:t>un objet et une cause licite</w:t>
      </w:r>
      <w:r w:rsidRPr="00630CF9">
        <w:rPr>
          <w:szCs w:val="20"/>
        </w:rPr>
        <w:t>s. Cela signifie qu'on ne peut pas, par exemple, assurer un suicide probable (la cause n'est pas licite, alors que l'événement est bien incertain et possible). On ne pourra pas, non plus, assurer un vol qui tournerait mal, par exemple (l'objet n'est pas licite).</w:t>
      </w:r>
    </w:p>
    <w:p w14:paraId="0693B7FD" w14:textId="77777777" w:rsidR="0090102D" w:rsidRPr="00630CF9" w:rsidRDefault="0090102D" w:rsidP="0090102D">
      <w:pPr>
        <w:jc w:val="both"/>
        <w:rPr>
          <w:szCs w:val="20"/>
        </w:rPr>
      </w:pPr>
      <w:r w:rsidRPr="00630CF9">
        <w:rPr>
          <w:szCs w:val="20"/>
        </w:rPr>
        <w:t xml:space="preserve">Le contrat d'assurance ne serait pas valablement formé non plus si l'assuré n'avait pas </w:t>
      </w:r>
      <w:r w:rsidRPr="00630CF9">
        <w:rPr>
          <w:i/>
          <w:iCs/>
          <w:szCs w:val="20"/>
        </w:rPr>
        <w:t>avantage à conserver la chose assurée</w:t>
      </w:r>
      <w:r w:rsidRPr="00630CF9">
        <w:rPr>
          <w:szCs w:val="20"/>
        </w:rPr>
        <w:t xml:space="preserve">. </w:t>
      </w:r>
    </w:p>
    <w:p w14:paraId="0693B7FE" w14:textId="77777777" w:rsidR="0090102D" w:rsidRPr="00630CF9" w:rsidRDefault="0090102D" w:rsidP="0090102D">
      <w:pPr>
        <w:jc w:val="both"/>
        <w:rPr>
          <w:szCs w:val="20"/>
        </w:rPr>
      </w:pPr>
      <w:r w:rsidRPr="00630CF9">
        <w:rPr>
          <w:szCs w:val="20"/>
        </w:rPr>
        <w:t xml:space="preserve">Enfin, les contrats d'assurance sont assortis </w:t>
      </w:r>
      <w:r w:rsidRPr="00630CF9">
        <w:rPr>
          <w:i/>
          <w:iCs/>
          <w:szCs w:val="20"/>
        </w:rPr>
        <w:t>d'un vice de consentement supplémentaire</w:t>
      </w:r>
      <w:r w:rsidRPr="00630CF9">
        <w:rPr>
          <w:szCs w:val="20"/>
        </w:rPr>
        <w:t xml:space="preserve">. Cela veut dire que le contrat ne serait pas valablement formé s'il y avait </w:t>
      </w:r>
      <w:r w:rsidRPr="00630CF9">
        <w:rPr>
          <w:i/>
          <w:iCs/>
          <w:szCs w:val="20"/>
        </w:rPr>
        <w:t>réticence</w:t>
      </w:r>
      <w:r w:rsidRPr="00630CF9">
        <w:rPr>
          <w:szCs w:val="20"/>
        </w:rPr>
        <w:t xml:space="preserve"> (l'assuré n'a pas tout dit à propos de la chose assurée) ou, bien évidemment, </w:t>
      </w:r>
      <w:r w:rsidRPr="00630CF9">
        <w:rPr>
          <w:i/>
          <w:iCs/>
          <w:szCs w:val="20"/>
        </w:rPr>
        <w:t>fausse déclaration</w:t>
      </w:r>
      <w:r w:rsidRPr="00630CF9">
        <w:rPr>
          <w:szCs w:val="20"/>
        </w:rPr>
        <w:t>.</w:t>
      </w:r>
    </w:p>
    <w:p w14:paraId="0693B7FF" w14:textId="77777777" w:rsidR="0090102D" w:rsidRPr="00630CF9" w:rsidRDefault="0090102D" w:rsidP="0090102D">
      <w:pPr>
        <w:spacing w:before="240"/>
        <w:jc w:val="both"/>
        <w:rPr>
          <w:szCs w:val="20"/>
        </w:rPr>
      </w:pPr>
      <w:r w:rsidRPr="00630CF9">
        <w:rPr>
          <w:b/>
          <w:bCs/>
          <w:szCs w:val="20"/>
        </w:rPr>
        <w:t>Description de la chose assurée :</w:t>
      </w:r>
      <w:r w:rsidRPr="00630CF9">
        <w:rPr>
          <w:szCs w:val="20"/>
        </w:rPr>
        <w:t xml:space="preserve"> A priori, l'assureur fait confiance à l'assuré dans la description qu'il fait de la chose assurée. La vérification a lieu au moment du sinistre. (Il s'agit d'une conséquence du vice de consentement supplémentaire.)</w:t>
      </w:r>
    </w:p>
    <w:p w14:paraId="0693B800" w14:textId="77777777" w:rsidR="0090102D" w:rsidRPr="009051DD" w:rsidRDefault="0090102D" w:rsidP="009051DD">
      <w:pPr>
        <w:pStyle w:val="Titre3"/>
      </w:pPr>
      <w:bookmarkStart w:id="357" w:name="_Toc482815666"/>
      <w:r w:rsidRPr="009051DD">
        <w:t>Obligations de l'assuré</w:t>
      </w:r>
      <w:bookmarkEnd w:id="357"/>
    </w:p>
    <w:p w14:paraId="0693B801" w14:textId="77777777" w:rsidR="0090102D" w:rsidRPr="00630CF9" w:rsidRDefault="0090102D" w:rsidP="0090102D">
      <w:pPr>
        <w:spacing w:before="240"/>
        <w:jc w:val="both"/>
        <w:rPr>
          <w:szCs w:val="20"/>
        </w:rPr>
      </w:pPr>
      <w:r w:rsidRPr="00630CF9">
        <w:rPr>
          <w:szCs w:val="20"/>
        </w:rPr>
        <w:t>L'assuré est tenu :</w:t>
      </w:r>
    </w:p>
    <w:p w14:paraId="0693B802" w14:textId="77777777" w:rsidR="0090102D" w:rsidRPr="00630CF9" w:rsidRDefault="0090102D" w:rsidP="0090102D">
      <w:pPr>
        <w:ind w:left="360" w:hanging="360"/>
        <w:rPr>
          <w:szCs w:val="20"/>
        </w:rPr>
      </w:pPr>
      <w:r w:rsidRPr="00630CF9">
        <w:rPr>
          <w:szCs w:val="20"/>
        </w:rPr>
        <w:tab/>
        <w:t xml:space="preserve">De fournir une </w:t>
      </w:r>
      <w:r w:rsidRPr="00630CF9">
        <w:rPr>
          <w:i/>
          <w:iCs/>
          <w:szCs w:val="20"/>
        </w:rPr>
        <w:t>description du risque</w:t>
      </w:r>
      <w:r w:rsidRPr="00630CF9">
        <w:rPr>
          <w:szCs w:val="20"/>
        </w:rPr>
        <w:t>.</w:t>
      </w:r>
    </w:p>
    <w:p w14:paraId="0693B803" w14:textId="77777777" w:rsidR="0090102D" w:rsidRPr="00630CF9" w:rsidRDefault="0090102D" w:rsidP="0090102D">
      <w:pPr>
        <w:ind w:left="360" w:hanging="360"/>
        <w:jc w:val="both"/>
        <w:rPr>
          <w:szCs w:val="20"/>
        </w:rPr>
      </w:pPr>
      <w:r w:rsidRPr="00630CF9">
        <w:rPr>
          <w:szCs w:val="20"/>
        </w:rPr>
        <w:tab/>
        <w:t xml:space="preserve">De </w:t>
      </w:r>
      <w:r w:rsidRPr="00630CF9">
        <w:rPr>
          <w:i/>
          <w:iCs/>
          <w:szCs w:val="20"/>
        </w:rPr>
        <w:t>payer la première prime</w:t>
      </w:r>
      <w:r w:rsidRPr="00630CF9">
        <w:rPr>
          <w:szCs w:val="20"/>
        </w:rPr>
        <w:t>, laquelle est indivisible (sinon les fractionnements restent dûs).</w:t>
      </w:r>
    </w:p>
    <w:p w14:paraId="0693B804" w14:textId="77777777" w:rsidR="0090102D" w:rsidRPr="00630CF9" w:rsidRDefault="0090102D" w:rsidP="0090102D">
      <w:pPr>
        <w:ind w:left="360" w:hanging="360"/>
        <w:jc w:val="both"/>
        <w:rPr>
          <w:szCs w:val="20"/>
        </w:rPr>
      </w:pPr>
      <w:r w:rsidRPr="00630CF9">
        <w:rPr>
          <w:szCs w:val="20"/>
        </w:rPr>
        <w:tab/>
        <w:t xml:space="preserve">De </w:t>
      </w:r>
      <w:r w:rsidRPr="00630CF9">
        <w:rPr>
          <w:i/>
          <w:iCs/>
          <w:szCs w:val="20"/>
        </w:rPr>
        <w:t>payer les primes suivantes aux échéances</w:t>
      </w:r>
      <w:r w:rsidRPr="00630CF9">
        <w:rPr>
          <w:szCs w:val="20"/>
        </w:rPr>
        <w:t xml:space="preserve"> prévues.</w:t>
      </w:r>
    </w:p>
    <w:p w14:paraId="0693B805" w14:textId="77777777" w:rsidR="0090102D" w:rsidRPr="00630CF9" w:rsidRDefault="0090102D" w:rsidP="0090102D">
      <w:pPr>
        <w:ind w:left="360" w:hanging="360"/>
        <w:jc w:val="both"/>
        <w:rPr>
          <w:szCs w:val="20"/>
        </w:rPr>
      </w:pPr>
      <w:r w:rsidRPr="00630CF9">
        <w:rPr>
          <w:szCs w:val="20"/>
        </w:rPr>
        <w:tab/>
        <w:t xml:space="preserve">De </w:t>
      </w:r>
      <w:r w:rsidRPr="00630CF9">
        <w:rPr>
          <w:i/>
          <w:iCs/>
          <w:szCs w:val="20"/>
        </w:rPr>
        <w:t>signaler</w:t>
      </w:r>
      <w:r w:rsidRPr="00630CF9">
        <w:rPr>
          <w:szCs w:val="20"/>
        </w:rPr>
        <w:t xml:space="preserve"> à l'assureur quand il y a </w:t>
      </w:r>
      <w:r w:rsidR="00B059DE">
        <w:rPr>
          <w:i/>
          <w:iCs/>
          <w:szCs w:val="20"/>
        </w:rPr>
        <w:t>modification</w:t>
      </w:r>
      <w:r w:rsidRPr="00630CF9">
        <w:rPr>
          <w:i/>
          <w:iCs/>
          <w:szCs w:val="20"/>
        </w:rPr>
        <w:t xml:space="preserve"> du risque</w:t>
      </w:r>
      <w:r w:rsidRPr="00630CF9">
        <w:rPr>
          <w:szCs w:val="20"/>
        </w:rPr>
        <w:t>.</w:t>
      </w:r>
    </w:p>
    <w:p w14:paraId="0693B806" w14:textId="77777777" w:rsidR="0090102D" w:rsidRPr="00630CF9" w:rsidRDefault="0090102D" w:rsidP="0090102D">
      <w:pPr>
        <w:ind w:left="360" w:hanging="360"/>
        <w:jc w:val="both"/>
        <w:rPr>
          <w:szCs w:val="20"/>
        </w:rPr>
      </w:pPr>
      <w:r w:rsidRPr="00630CF9">
        <w:rPr>
          <w:szCs w:val="20"/>
        </w:rPr>
        <w:tab/>
        <w:t xml:space="preserve">En cas de sinistre, de </w:t>
      </w:r>
      <w:r w:rsidRPr="00630CF9">
        <w:rPr>
          <w:i/>
          <w:iCs/>
          <w:szCs w:val="20"/>
        </w:rPr>
        <w:t>prévenir et d'atténuer les dommages</w:t>
      </w:r>
      <w:r w:rsidRPr="00630CF9">
        <w:rPr>
          <w:szCs w:val="20"/>
        </w:rPr>
        <w:t>.</w:t>
      </w:r>
    </w:p>
    <w:p w14:paraId="0693B807" w14:textId="77777777" w:rsidR="0090102D" w:rsidRPr="00630CF9" w:rsidRDefault="0090102D" w:rsidP="0090102D">
      <w:pPr>
        <w:ind w:left="360" w:hanging="360"/>
        <w:jc w:val="both"/>
        <w:rPr>
          <w:szCs w:val="20"/>
        </w:rPr>
      </w:pPr>
      <w:r w:rsidRPr="00630CF9">
        <w:rPr>
          <w:szCs w:val="20"/>
        </w:rPr>
        <w:tab/>
        <w:t xml:space="preserve">En cas de sinistre, de le </w:t>
      </w:r>
      <w:r w:rsidRPr="00630CF9">
        <w:rPr>
          <w:i/>
          <w:iCs/>
          <w:szCs w:val="20"/>
        </w:rPr>
        <w:t>déclarer rapidement</w:t>
      </w:r>
      <w:r w:rsidRPr="00630CF9">
        <w:rPr>
          <w:szCs w:val="20"/>
        </w:rPr>
        <w:t>.</w:t>
      </w:r>
    </w:p>
    <w:p w14:paraId="0693B808" w14:textId="77777777" w:rsidR="0090102D" w:rsidRPr="009051DD" w:rsidRDefault="0090102D" w:rsidP="009051DD">
      <w:pPr>
        <w:pStyle w:val="Titre3"/>
      </w:pPr>
      <w:bookmarkStart w:id="358" w:name="_Toc482815667"/>
      <w:r w:rsidRPr="009051DD">
        <w:t>Obligations de l'assureur</w:t>
      </w:r>
      <w:bookmarkEnd w:id="358"/>
    </w:p>
    <w:p w14:paraId="0693B809" w14:textId="77777777" w:rsidR="0090102D" w:rsidRPr="00630CF9" w:rsidRDefault="0090102D" w:rsidP="0090102D">
      <w:pPr>
        <w:spacing w:before="240"/>
        <w:jc w:val="both"/>
        <w:rPr>
          <w:szCs w:val="20"/>
        </w:rPr>
      </w:pPr>
      <w:r w:rsidRPr="00630CF9">
        <w:rPr>
          <w:szCs w:val="20"/>
        </w:rPr>
        <w:t>L'assureur est tenu :</w:t>
      </w:r>
    </w:p>
    <w:p w14:paraId="0693B80A" w14:textId="77777777" w:rsidR="0090102D" w:rsidRPr="00630CF9" w:rsidRDefault="0090102D" w:rsidP="0090102D">
      <w:pPr>
        <w:ind w:left="360" w:hanging="360"/>
        <w:jc w:val="both"/>
        <w:rPr>
          <w:szCs w:val="20"/>
        </w:rPr>
      </w:pPr>
      <w:r w:rsidRPr="00630CF9">
        <w:rPr>
          <w:b/>
          <w:bCs/>
          <w:szCs w:val="20"/>
        </w:rPr>
        <w:tab/>
        <w:t>De payer</w:t>
      </w:r>
      <w:r w:rsidRPr="00630CF9">
        <w:rPr>
          <w:szCs w:val="20"/>
        </w:rPr>
        <w:t xml:space="preserve"> quand le sinistre a eu lieu. Se reporter à la police pour vérifier s'il s'agit d'une clause de </w:t>
      </w:r>
      <w:r w:rsidRPr="00630CF9">
        <w:rPr>
          <w:i/>
          <w:iCs/>
          <w:szCs w:val="20"/>
        </w:rPr>
        <w:t>valeur agréée</w:t>
      </w:r>
      <w:r w:rsidRPr="00630CF9">
        <w:rPr>
          <w:szCs w:val="20"/>
        </w:rPr>
        <w:t xml:space="preserve"> ou d'une clause de </w:t>
      </w:r>
      <w:r w:rsidRPr="00630CF9">
        <w:rPr>
          <w:i/>
          <w:iCs/>
          <w:szCs w:val="20"/>
        </w:rPr>
        <w:t>valeur à neuf</w:t>
      </w:r>
      <w:r w:rsidRPr="00630CF9">
        <w:rPr>
          <w:szCs w:val="20"/>
        </w:rPr>
        <w:t>.</w:t>
      </w:r>
    </w:p>
    <w:p w14:paraId="0693B80B" w14:textId="77777777" w:rsidR="0090102D" w:rsidRPr="00630CF9" w:rsidRDefault="0090102D" w:rsidP="0090102D">
      <w:pPr>
        <w:ind w:left="360" w:hanging="360"/>
        <w:jc w:val="both"/>
        <w:rPr>
          <w:szCs w:val="20"/>
        </w:rPr>
      </w:pPr>
      <w:r w:rsidRPr="00630CF9">
        <w:rPr>
          <w:szCs w:val="20"/>
        </w:rPr>
        <w:tab/>
        <w:t xml:space="preserve">D'adopter la </w:t>
      </w:r>
      <w:r w:rsidRPr="00630CF9">
        <w:rPr>
          <w:b/>
          <w:bCs/>
          <w:szCs w:val="20"/>
        </w:rPr>
        <w:t>règle proportionnelle</w:t>
      </w:r>
      <w:r w:rsidRPr="00630CF9">
        <w:rPr>
          <w:szCs w:val="20"/>
        </w:rPr>
        <w:t xml:space="preserve">. C'est-à-dire que </w:t>
      </w:r>
      <w:r w:rsidRPr="00630CF9">
        <w:rPr>
          <w:i/>
          <w:iCs/>
          <w:szCs w:val="20"/>
        </w:rPr>
        <w:t>l'indemnité</w:t>
      </w:r>
      <w:r w:rsidRPr="00630CF9">
        <w:rPr>
          <w:szCs w:val="20"/>
        </w:rPr>
        <w:t xml:space="preserve"> vaut la </w:t>
      </w:r>
      <w:r w:rsidRPr="00630CF9">
        <w:rPr>
          <w:i/>
          <w:iCs/>
          <w:szCs w:val="20"/>
        </w:rPr>
        <w:t>valeur du sinistre</w:t>
      </w:r>
      <w:r w:rsidRPr="00630CF9">
        <w:rPr>
          <w:szCs w:val="20"/>
        </w:rPr>
        <w:t xml:space="preserve"> pondérée par le rap</w:t>
      </w:r>
      <w:r w:rsidR="001E7A47" w:rsidRPr="00630CF9">
        <w:rPr>
          <w:szCs w:val="20"/>
        </w:rPr>
        <w:t>port l'erreur commise (c'est-à-</w:t>
      </w:r>
      <w:r w:rsidRPr="00630CF9">
        <w:rPr>
          <w:szCs w:val="20"/>
        </w:rPr>
        <w:t xml:space="preserve">dire la différence, en valeur absolue, entre la </w:t>
      </w:r>
      <w:r w:rsidRPr="00630CF9">
        <w:rPr>
          <w:i/>
          <w:iCs/>
          <w:szCs w:val="20"/>
        </w:rPr>
        <w:t>valeur déclarée</w:t>
      </w:r>
      <w:r w:rsidRPr="00630CF9">
        <w:rPr>
          <w:szCs w:val="20"/>
        </w:rPr>
        <w:t xml:space="preserve"> et la </w:t>
      </w:r>
      <w:r w:rsidRPr="00630CF9">
        <w:rPr>
          <w:i/>
          <w:iCs/>
          <w:szCs w:val="20"/>
        </w:rPr>
        <w:t>valeur réelle</w:t>
      </w:r>
      <w:r w:rsidRPr="00630CF9">
        <w:rPr>
          <w:szCs w:val="20"/>
        </w:rPr>
        <w:t xml:space="preserve">) et la </w:t>
      </w:r>
      <w:r w:rsidRPr="00630CF9">
        <w:rPr>
          <w:i/>
          <w:iCs/>
          <w:szCs w:val="20"/>
        </w:rPr>
        <w:t>valeur réelle</w:t>
      </w:r>
      <w:r w:rsidRPr="00630CF9">
        <w:rPr>
          <w:szCs w:val="20"/>
        </w:rPr>
        <w:t xml:space="preserve"> de la chose assurée.</w:t>
      </w:r>
    </w:p>
    <w:p w14:paraId="0693B80C" w14:textId="77777777" w:rsidR="00C81379" w:rsidRPr="00630CF9" w:rsidRDefault="0090102D" w:rsidP="0090102D">
      <w:pPr>
        <w:ind w:left="360" w:hanging="360"/>
        <w:jc w:val="both"/>
        <w:rPr>
          <w:szCs w:val="20"/>
        </w:rPr>
      </w:pPr>
      <w:r w:rsidRPr="00630CF9">
        <w:rPr>
          <w:szCs w:val="20"/>
        </w:rPr>
        <w:tab/>
        <w:t xml:space="preserve">De </w:t>
      </w:r>
      <w:r w:rsidRPr="00630CF9">
        <w:rPr>
          <w:b/>
          <w:bCs/>
          <w:szCs w:val="20"/>
        </w:rPr>
        <w:t>refuser de payer (exonération)</w:t>
      </w:r>
      <w:r w:rsidRPr="00630CF9">
        <w:rPr>
          <w:szCs w:val="20"/>
        </w:rPr>
        <w:t xml:space="preserve"> quand il y a </w:t>
      </w:r>
      <w:r w:rsidRPr="00630CF9">
        <w:rPr>
          <w:i/>
          <w:iCs/>
          <w:szCs w:val="20"/>
        </w:rPr>
        <w:t>faute grave ou volontaire</w:t>
      </w:r>
      <w:r w:rsidRPr="00630CF9">
        <w:rPr>
          <w:szCs w:val="20"/>
        </w:rPr>
        <w:t xml:space="preserve"> dans le chef de l'assuré, quand la chose assurée possédait un </w:t>
      </w:r>
      <w:r w:rsidRPr="00630CF9">
        <w:rPr>
          <w:i/>
          <w:iCs/>
          <w:szCs w:val="20"/>
        </w:rPr>
        <w:t>vice propre</w:t>
      </w:r>
      <w:r w:rsidRPr="00630CF9">
        <w:rPr>
          <w:szCs w:val="20"/>
        </w:rPr>
        <w:t xml:space="preserve">, ou quand l'on se trouve dans des cas tels que la </w:t>
      </w:r>
      <w:r w:rsidRPr="00630CF9">
        <w:rPr>
          <w:i/>
          <w:iCs/>
          <w:szCs w:val="20"/>
        </w:rPr>
        <w:t>guerre, les troubles, les émeutes, les tremblements de terre</w:t>
      </w:r>
      <w:r w:rsidRPr="00630CF9">
        <w:rPr>
          <w:szCs w:val="20"/>
        </w:rPr>
        <w:t>.</w:t>
      </w:r>
    </w:p>
    <w:p w14:paraId="0693B80D" w14:textId="77777777" w:rsidR="008D140F" w:rsidRDefault="008D140F" w:rsidP="00105A84">
      <w:pPr>
        <w:pStyle w:val="Titre2"/>
      </w:pPr>
      <w:bookmarkStart w:id="359" w:name="Contrats_de_comptes_bancaires_"/>
      <w:bookmarkStart w:id="360" w:name="_Toc482815668"/>
      <w:bookmarkEnd w:id="359"/>
      <w:r>
        <w:lastRenderedPageBreak/>
        <w:t>Le bail commercial</w:t>
      </w:r>
      <w:bookmarkEnd w:id="360"/>
    </w:p>
    <w:p w14:paraId="0693B80E" w14:textId="0967C6D8" w:rsidR="008D140F" w:rsidRPr="008D140F" w:rsidRDefault="00FD4439" w:rsidP="008D140F">
      <w:r>
        <w:t>Voir Chamilo, rubrique « Documents », Connaissances de gestion de base</w:t>
      </w:r>
      <w:r w:rsidR="008D140F">
        <w:t>.</w:t>
      </w:r>
    </w:p>
    <w:p w14:paraId="0693B80F" w14:textId="77777777" w:rsidR="008D140F" w:rsidRDefault="008D140F" w:rsidP="00105A84">
      <w:pPr>
        <w:pStyle w:val="Titre2"/>
      </w:pPr>
      <w:bookmarkStart w:id="361" w:name="_Toc482815669"/>
      <w:r>
        <w:t>Le gage commercial</w:t>
      </w:r>
      <w:bookmarkEnd w:id="361"/>
    </w:p>
    <w:p w14:paraId="47F13865" w14:textId="77777777" w:rsidR="00DF3B07" w:rsidRPr="008D140F" w:rsidRDefault="00DF3B07" w:rsidP="00DF3B07">
      <w:r>
        <w:t>Voir Chamilo, rubrique « Documents », Connaissances de gestion de base.</w:t>
      </w:r>
    </w:p>
    <w:p w14:paraId="0693B811" w14:textId="77777777" w:rsidR="004C64BF" w:rsidRDefault="004C64BF" w:rsidP="00105A84">
      <w:pPr>
        <w:pStyle w:val="Titre2"/>
      </w:pPr>
      <w:bookmarkStart w:id="362" w:name="_Toc482815670"/>
      <w:r>
        <w:t xml:space="preserve">Contrats de </w:t>
      </w:r>
      <w:hyperlink r:id="rId140" w:history="1">
        <w:bookmarkStart w:id="363" w:name="wbg_"/>
        <w:r>
          <w:rPr>
            <w:color w:val="0000FF"/>
            <w:u w:val="single"/>
          </w:rPr>
          <w:t>comptes bancaires</w:t>
        </w:r>
      </w:hyperlink>
      <w:bookmarkEnd w:id="363"/>
      <w:r w:rsidR="00DA2DA8">
        <w:rPr>
          <w:rStyle w:val="Appelnotedebasdep"/>
        </w:rPr>
        <w:footnoteReference w:id="46"/>
      </w:r>
      <w:r>
        <w:t xml:space="preserve"> </w:t>
      </w:r>
      <w:r w:rsidR="007D4425">
        <w:t>en paradis bancaires</w:t>
      </w:r>
      <w:bookmarkEnd w:id="362"/>
    </w:p>
    <w:p w14:paraId="0693B812" w14:textId="77777777" w:rsidR="007D4425" w:rsidRPr="007D4425" w:rsidRDefault="007D4425" w:rsidP="007D4425">
      <w:r w:rsidRPr="007D4425">
        <w:t>D'après le Financial Secrecy Index1, les 8 pays par lesquels transitent le plus de flux opaques sont, par ordre décroissant d'importance</w:t>
      </w:r>
      <w:r>
        <w:t xml:space="preserve"> (source : Wikipedia)</w:t>
      </w:r>
      <w:r w:rsidRPr="007D4425">
        <w:t xml:space="preserve"> :</w:t>
      </w:r>
    </w:p>
    <w:p w14:paraId="0693B813" w14:textId="77777777" w:rsidR="007D4425" w:rsidRPr="007D4425" w:rsidRDefault="007D4425" w:rsidP="0086187F">
      <w:pPr>
        <w:numPr>
          <w:ilvl w:val="0"/>
          <w:numId w:val="35"/>
        </w:numPr>
      </w:pPr>
      <w:r w:rsidRPr="007D4425">
        <w:t>Le Delaware (aux États-Unis)</w:t>
      </w:r>
    </w:p>
    <w:p w14:paraId="0693B814" w14:textId="77777777" w:rsidR="007D4425" w:rsidRPr="007D4425" w:rsidRDefault="007D4425" w:rsidP="0086187F">
      <w:pPr>
        <w:numPr>
          <w:ilvl w:val="0"/>
          <w:numId w:val="35"/>
        </w:numPr>
      </w:pPr>
      <w:r w:rsidRPr="007D4425">
        <w:t>La Suisse</w:t>
      </w:r>
    </w:p>
    <w:p w14:paraId="0693B815" w14:textId="77777777" w:rsidR="007D4425" w:rsidRPr="007D4425" w:rsidRDefault="007D4425" w:rsidP="0086187F">
      <w:pPr>
        <w:numPr>
          <w:ilvl w:val="0"/>
          <w:numId w:val="35"/>
        </w:numPr>
      </w:pPr>
      <w:r w:rsidRPr="007D4425">
        <w:t>Les Iles Caïmans</w:t>
      </w:r>
    </w:p>
    <w:p w14:paraId="0693B816" w14:textId="77777777" w:rsidR="007D4425" w:rsidRPr="007D4425" w:rsidRDefault="007D4425" w:rsidP="0086187F">
      <w:pPr>
        <w:numPr>
          <w:ilvl w:val="0"/>
          <w:numId w:val="35"/>
        </w:numPr>
      </w:pPr>
      <w:r w:rsidRPr="007D4425">
        <w:t>La Cité de Londres (en Grande-Bretagne)</w:t>
      </w:r>
    </w:p>
    <w:p w14:paraId="0693B817" w14:textId="77777777" w:rsidR="007D4425" w:rsidRPr="007D4425" w:rsidRDefault="007D4425" w:rsidP="0086187F">
      <w:pPr>
        <w:numPr>
          <w:ilvl w:val="0"/>
          <w:numId w:val="35"/>
        </w:numPr>
      </w:pPr>
      <w:r w:rsidRPr="007D4425">
        <w:t>L'Irlande</w:t>
      </w:r>
    </w:p>
    <w:p w14:paraId="0693B818" w14:textId="77777777" w:rsidR="007D4425" w:rsidRPr="007D4425" w:rsidRDefault="007D4425" w:rsidP="0086187F">
      <w:pPr>
        <w:numPr>
          <w:ilvl w:val="0"/>
          <w:numId w:val="35"/>
        </w:numPr>
      </w:pPr>
      <w:r w:rsidRPr="007D4425">
        <w:t>Les Bermudes</w:t>
      </w:r>
    </w:p>
    <w:p w14:paraId="0693B819" w14:textId="77777777" w:rsidR="007D4425" w:rsidRPr="007D4425" w:rsidRDefault="007D4425" w:rsidP="0086187F">
      <w:pPr>
        <w:numPr>
          <w:ilvl w:val="0"/>
          <w:numId w:val="35"/>
        </w:numPr>
      </w:pPr>
      <w:r w:rsidRPr="007D4425">
        <w:t>Singapour</w:t>
      </w:r>
    </w:p>
    <w:p w14:paraId="0693B81A" w14:textId="77777777" w:rsidR="007D4425" w:rsidRPr="007D4425" w:rsidRDefault="007D4425" w:rsidP="007D4425"/>
    <w:p w14:paraId="0693B81B" w14:textId="77777777" w:rsidR="007D4425" w:rsidRPr="007D4425" w:rsidRDefault="007D4425" w:rsidP="007D4425">
      <w:pPr>
        <w:rPr>
          <w:b/>
        </w:rPr>
      </w:pPr>
      <w:r w:rsidRPr="007D4425">
        <w:rPr>
          <w:b/>
        </w:rPr>
        <w:t>Le secret bancaire</w:t>
      </w:r>
    </w:p>
    <w:p w14:paraId="0693B81C" w14:textId="77777777" w:rsidR="007D4425" w:rsidRPr="007D4425" w:rsidRDefault="007D4425" w:rsidP="007D4425">
      <w:pPr>
        <w:jc w:val="both"/>
        <w:rPr>
          <w:rFonts w:ascii="Arial" w:hAnsi="Arial" w:cs="Arial"/>
          <w:b/>
          <w:bCs/>
          <w:color w:val="0000FF"/>
          <w:sz w:val="32"/>
          <w:szCs w:val="26"/>
        </w:rPr>
      </w:pPr>
      <w:r w:rsidRPr="007D4425">
        <w:t xml:space="preserve">L’article 2, loi du 3/9/56 sur le secret bancaire au Liban précise le </w:t>
      </w:r>
      <w:r>
        <w:t>sens du terme « secret bancaire </w:t>
      </w:r>
      <w:r w:rsidRPr="007D4425">
        <w:t>» : “Les directeurs et employés des banques ainsi que tous ceux qui ont connaissance des écritures, livres, opérations et correspondances bancaires sont tenus au secret absolu en faveur des clients et ne peuvent divulguer ce qu’ils savent sur les noms de la clientèle, sur ses avoirs et sur les questions qui la concernent à qui que ce soit: particulier, pouvoir public, autorité administrative, militaire ou judiciaire sauf autorisation écrite de l’intéressé, de ses héritiers ou de ses légataires ou sauf déclaration de sa faillite et à moins qu’il ne surgisse un litige sur une opération bancaire entre l</w:t>
      </w:r>
      <w:r>
        <w:t>es banques et leurs clients...”</w:t>
      </w:r>
    </w:p>
    <w:p w14:paraId="0693B81D" w14:textId="77777777" w:rsidR="00102E6A" w:rsidRDefault="006F0FB3" w:rsidP="007D4425">
      <w:pPr>
        <w:pStyle w:val="Titre3"/>
      </w:pPr>
      <w:bookmarkStart w:id="364" w:name="_Toc482815671"/>
      <w:r>
        <w:t xml:space="preserve">Rappel du </w:t>
      </w:r>
      <w:r w:rsidR="007D4425">
        <w:t xml:space="preserve">cas du </w:t>
      </w:r>
      <w:r>
        <w:t>c</w:t>
      </w:r>
      <w:r w:rsidR="00102E6A">
        <w:t>ompte courant « normal »</w:t>
      </w:r>
      <w:bookmarkEnd w:id="364"/>
    </w:p>
    <w:p w14:paraId="0693B81E" w14:textId="77777777" w:rsidR="00DA2DA8" w:rsidRPr="00DA2DA8" w:rsidRDefault="00DA2DA8" w:rsidP="00DA2DA8">
      <w:r>
        <w:t>Nom, adresse, droit aux dépôts et aux retraits.</w:t>
      </w:r>
    </w:p>
    <w:p w14:paraId="0693B81F" w14:textId="77777777" w:rsidR="00102E6A" w:rsidRDefault="00102E6A" w:rsidP="00102E6A">
      <w:pPr>
        <w:pStyle w:val="Titre3"/>
      </w:pPr>
      <w:bookmarkStart w:id="365" w:name="_Toc482815672"/>
      <w:r>
        <w:t>Compte à numéro</w:t>
      </w:r>
      <w:bookmarkEnd w:id="365"/>
    </w:p>
    <w:p w14:paraId="0693B820" w14:textId="77777777" w:rsidR="00DA2DA8" w:rsidRPr="00DA2DA8" w:rsidRDefault="00DA2DA8" w:rsidP="00DA2DA8">
      <w:r>
        <w:t>Nom, adresse, droit aux dépôts et aux retraits.</w:t>
      </w:r>
    </w:p>
    <w:p w14:paraId="0693B821" w14:textId="77777777" w:rsidR="00DA2DA8" w:rsidRDefault="00DA2DA8" w:rsidP="00DA2DA8">
      <w:r>
        <w:t>MAIS : nom et adresse non divulgués. Connus seulement du gestionnaire de la banque.</w:t>
      </w:r>
    </w:p>
    <w:p w14:paraId="0693B822" w14:textId="77777777" w:rsidR="00DA2DA8" w:rsidRPr="00DA2DA8" w:rsidRDefault="00DA2DA8" w:rsidP="00DA2DA8">
      <w:r>
        <w:t>Assorti d’un mot de passe.</w:t>
      </w:r>
    </w:p>
    <w:p w14:paraId="0693B823" w14:textId="77777777" w:rsidR="00102E6A" w:rsidRDefault="00102E6A" w:rsidP="00102E6A">
      <w:pPr>
        <w:pStyle w:val="Titre3"/>
      </w:pPr>
      <w:bookmarkStart w:id="366" w:name="_Toc482815673"/>
      <w:r>
        <w:lastRenderedPageBreak/>
        <w:t>Compte à numéro avec faux nom et fausse adresse</w:t>
      </w:r>
      <w:bookmarkEnd w:id="366"/>
    </w:p>
    <w:p w14:paraId="0693B824" w14:textId="77777777" w:rsidR="00DA2DA8" w:rsidRPr="00DA2DA8" w:rsidRDefault="00DA2DA8" w:rsidP="00DA2DA8">
      <w:r>
        <w:t>Nom, adresse, droit aux dépôts et aux retraits.</w:t>
      </w:r>
    </w:p>
    <w:p w14:paraId="0693B825" w14:textId="77777777" w:rsidR="00DA2DA8" w:rsidRDefault="00DA2DA8" w:rsidP="00DA2DA8">
      <w:r>
        <w:t>MAIS : nom et adresse non divulgués. Connus seulement du gestionnaire de la banque.</w:t>
      </w:r>
    </w:p>
    <w:p w14:paraId="0693B826" w14:textId="77777777" w:rsidR="00DA2DA8" w:rsidRPr="00DA2DA8" w:rsidRDefault="00DA2DA8" w:rsidP="00DA2DA8">
      <w:r>
        <w:t>Assorti d’un mot de passe.</w:t>
      </w:r>
    </w:p>
    <w:p w14:paraId="0693B827" w14:textId="77777777" w:rsidR="00DA2DA8" w:rsidRPr="00DA2DA8" w:rsidRDefault="00DA2DA8" w:rsidP="00DA2DA8">
      <w:r>
        <w:t>Sur les extraits apparaissent le faux nom et la fausse adresse (1</w:t>
      </w:r>
      <w:r w:rsidRPr="00DA2DA8">
        <w:rPr>
          <w:vertAlign w:val="superscript"/>
        </w:rPr>
        <w:t>er</w:t>
      </w:r>
      <w:r>
        <w:t xml:space="preserve"> feuillet).</w:t>
      </w:r>
    </w:p>
    <w:p w14:paraId="0693B828" w14:textId="77777777" w:rsidR="00102E6A" w:rsidRDefault="00102E6A" w:rsidP="00102E6A">
      <w:pPr>
        <w:pStyle w:val="Titre3"/>
      </w:pPr>
      <w:bookmarkStart w:id="367" w:name="_Toc482815674"/>
      <w:r>
        <w:t>Compte-livret avec faux nom et fausse adresse</w:t>
      </w:r>
      <w:bookmarkEnd w:id="367"/>
    </w:p>
    <w:p w14:paraId="0693B829" w14:textId="77777777" w:rsidR="00DA2DA8" w:rsidRPr="00DA2DA8" w:rsidRDefault="00DA2DA8" w:rsidP="00DA2DA8">
      <w:pPr>
        <w:jc w:val="both"/>
      </w:pPr>
      <w:r>
        <w:t>Nom, adresse, droit aux dépôts et aux retraits.</w:t>
      </w:r>
    </w:p>
    <w:p w14:paraId="0693B82A" w14:textId="77777777" w:rsidR="00DA2DA8" w:rsidRDefault="00DA2DA8" w:rsidP="00DA2DA8">
      <w:pPr>
        <w:jc w:val="both"/>
      </w:pPr>
      <w:r>
        <w:t>MAIS : nom et adresse non divulgués. Connus seulement du gestionnaire de la banque.</w:t>
      </w:r>
    </w:p>
    <w:p w14:paraId="0693B82B" w14:textId="77777777" w:rsidR="00DA2DA8" w:rsidRPr="00DA2DA8" w:rsidRDefault="00DA2DA8" w:rsidP="00DA2DA8">
      <w:pPr>
        <w:jc w:val="both"/>
      </w:pPr>
      <w:r>
        <w:t>Assorti d’un mot de passe.</w:t>
      </w:r>
    </w:p>
    <w:p w14:paraId="0693B82C" w14:textId="77777777" w:rsidR="00DA2DA8" w:rsidRDefault="00DA2DA8" w:rsidP="00DA2DA8">
      <w:pPr>
        <w:jc w:val="both"/>
      </w:pPr>
      <w:r>
        <w:t>Pas d’extraits de compte.</w:t>
      </w:r>
    </w:p>
    <w:p w14:paraId="0693B82D" w14:textId="77777777" w:rsidR="00DA2DA8" w:rsidRDefault="00DA2DA8" w:rsidP="00DA2DA8">
      <w:pPr>
        <w:jc w:val="both"/>
      </w:pPr>
      <w:r>
        <w:t>Le compte est identifié par le livret ET le mot de passe.</w:t>
      </w:r>
    </w:p>
    <w:p w14:paraId="0693B82E" w14:textId="77777777" w:rsidR="00DA2DA8" w:rsidRPr="00DA2DA8" w:rsidRDefault="00DA2DA8" w:rsidP="00DA2DA8"/>
    <w:p w14:paraId="0693B82F" w14:textId="77777777" w:rsidR="00102E6A" w:rsidRDefault="00102E6A" w:rsidP="00102E6A">
      <w:pPr>
        <w:pStyle w:val="Titre3"/>
      </w:pPr>
      <w:bookmarkStart w:id="368" w:name="_Toc482815675"/>
      <w:r>
        <w:t>Technique du compte « tiers-ouvert »</w:t>
      </w:r>
      <w:bookmarkEnd w:id="368"/>
    </w:p>
    <w:p w14:paraId="0693B830" w14:textId="77777777" w:rsidR="00DA2DA8" w:rsidRDefault="00DA2DA8" w:rsidP="00DA2DA8">
      <w:pPr>
        <w:jc w:val="both"/>
      </w:pPr>
      <w:r>
        <w:t>Applicable à tous les comptes.</w:t>
      </w:r>
    </w:p>
    <w:p w14:paraId="0693B831" w14:textId="77777777" w:rsidR="00DA2DA8" w:rsidRDefault="00DA2DA8" w:rsidP="00DA2DA8">
      <w:pPr>
        <w:jc w:val="both"/>
      </w:pPr>
      <w:r>
        <w:t>Normalement, le titulaire a droit aux dépôts et aux retraits sur son compte.</w:t>
      </w:r>
    </w:p>
    <w:p w14:paraId="0693B832" w14:textId="77777777" w:rsidR="00DA2DA8" w:rsidRDefault="00DA2DA8" w:rsidP="00DA2DA8">
      <w:pPr>
        <w:jc w:val="both"/>
      </w:pPr>
      <w:r>
        <w:t>Avec le tiers-ouvert, le titulaire désigne qui pourra déposer sur son compte et qui pourra retirer de son compte.</w:t>
      </w:r>
    </w:p>
    <w:p w14:paraId="0693B833" w14:textId="77777777" w:rsidR="00DA2DA8" w:rsidRPr="00DA2DA8" w:rsidRDefault="00DA2DA8" w:rsidP="00DA2DA8">
      <w:pPr>
        <w:jc w:val="both"/>
      </w:pPr>
      <w:r>
        <w:t>Rien n’interdit à un compte tiers-ouvert d’avoir le cas d’un titulaire de compte qui ne puisse ni déposer ni retirer de son propre compte…</w:t>
      </w:r>
    </w:p>
    <w:p w14:paraId="0693B834" w14:textId="77777777" w:rsidR="00102E6A" w:rsidRPr="00102E6A" w:rsidRDefault="00102E6A" w:rsidP="00102E6A"/>
    <w:p w14:paraId="0693B835" w14:textId="77777777" w:rsidR="004C64BF" w:rsidRDefault="004C64BF" w:rsidP="00105A84">
      <w:pPr>
        <w:pStyle w:val="Titre2"/>
      </w:pPr>
      <w:bookmarkStart w:id="369" w:name="Contrats_de_soci_t_de_type_TRU"/>
      <w:bookmarkStart w:id="370" w:name="_Toc482815676"/>
      <w:bookmarkEnd w:id="369"/>
      <w:r>
        <w:t xml:space="preserve">Contrats de société de type </w:t>
      </w:r>
      <w:hyperlink r:id="rId141" w:history="1">
        <w:bookmarkStart w:id="371" w:name="xjp7"/>
        <w:r>
          <w:rPr>
            <w:color w:val="0000FF"/>
            <w:u w:val="single"/>
          </w:rPr>
          <w:t>TRUST</w:t>
        </w:r>
      </w:hyperlink>
      <w:bookmarkEnd w:id="371"/>
      <w:r>
        <w:t xml:space="preserve"> </w:t>
      </w:r>
      <w:r w:rsidR="007D4425">
        <w:t>en paradis fiscaux</w:t>
      </w:r>
      <w:bookmarkEnd w:id="370"/>
    </w:p>
    <w:p w14:paraId="0693B836" w14:textId="77777777" w:rsidR="007D4425" w:rsidRPr="007D4425" w:rsidRDefault="007D4425" w:rsidP="00E14FD2">
      <w:pPr>
        <w:jc w:val="both"/>
      </w:pPr>
      <w:r w:rsidRPr="007D4425">
        <w:t>Un paradis fiscal</w:t>
      </w:r>
      <w:r>
        <w:t xml:space="preserve"> (source : Wikipedia)</w:t>
      </w:r>
      <w:r w:rsidRPr="007D4425">
        <w:t xml:space="preserve"> est un territoire à la fiscalité très basse comparé aux niveaux d'imposition existant dans les pays développés. L'opacité des systèmes fiscaux est un critère aussi important mais moins connu, même si on parle plutôt alors de paradis financiers. En anglais, le concept correspondant est celui de « tax haven » (« refuge fiscal ») ; en allemand on emploie le terme de « Steueroase » (« oasis fiscale ») ou comme en français pour « Steuerparadies ».</w:t>
      </w:r>
    </w:p>
    <w:p w14:paraId="0693B837" w14:textId="77777777" w:rsidR="007D4425" w:rsidRPr="007D4425" w:rsidRDefault="007D4425" w:rsidP="00E14FD2">
      <w:pPr>
        <w:jc w:val="both"/>
      </w:pPr>
    </w:p>
    <w:p w14:paraId="0693B838" w14:textId="77777777" w:rsidR="007D4425" w:rsidRPr="007D4425" w:rsidRDefault="007D4425" w:rsidP="00E14FD2">
      <w:pPr>
        <w:jc w:val="both"/>
      </w:pPr>
      <w:r w:rsidRPr="007D4425">
        <w:t>Le terme de paradis fiscal, au sens strict de fiscalité faible, ne prend son sens qu'en comparaison avec d'autres pays (ou d'autres régions du même pays) à fiscalité plus élevée au moins dans certains domaines ou pour certaines activités. Ainsi, un rapport de l’OCDE de 1987 relatif à la fiscalité internationale précisait dès son introduction qu’« il n’existe pas de critère unique, clair et objectif permettant d’identifier un pays comme étant un paradis fiscal ».</w:t>
      </w:r>
    </w:p>
    <w:p w14:paraId="0693B839" w14:textId="77777777" w:rsidR="007D4425" w:rsidRPr="007D4425" w:rsidRDefault="007D4425" w:rsidP="007D4425"/>
    <w:p w14:paraId="0693B83A" w14:textId="77777777" w:rsidR="007D4425" w:rsidRDefault="007D4425" w:rsidP="007D4425">
      <w:r w:rsidRPr="007D4425">
        <w:t>Les notions de paradis fiscal et de paradis financier se recouvrent en partie. L'opacité financière dans un pays permet de dissimuler des activités ayan</w:t>
      </w:r>
      <w:r>
        <w:t>t lieu dans les paradis fiscaux</w:t>
      </w:r>
      <w:r w:rsidRPr="007D4425">
        <w:t>.</w:t>
      </w:r>
    </w:p>
    <w:p w14:paraId="0693B83B" w14:textId="77777777" w:rsidR="00E244ED" w:rsidRDefault="00E244ED" w:rsidP="007D4425"/>
    <w:p w14:paraId="0693B83C" w14:textId="77777777" w:rsidR="007D4425" w:rsidRDefault="007D4425" w:rsidP="007D4425"/>
    <w:p w14:paraId="0693B83D" w14:textId="77777777" w:rsidR="007D4425" w:rsidRDefault="007D4425" w:rsidP="007D4425">
      <w:pPr>
        <w:sectPr w:rsidR="007D4425" w:rsidSect="00650160">
          <w:headerReference w:type="default" r:id="rId142"/>
          <w:footerReference w:type="default" r:id="rId143"/>
          <w:pgSz w:w="11906" w:h="16838" w:code="9"/>
          <w:pgMar w:top="1418" w:right="1418" w:bottom="1418" w:left="1418" w:header="709" w:footer="709" w:gutter="0"/>
          <w:cols w:space="708"/>
          <w:titlePg/>
          <w:docGrid w:linePitch="360"/>
        </w:sectPr>
      </w:pPr>
    </w:p>
    <w:p w14:paraId="0693B83E" w14:textId="77777777" w:rsidR="007D4425" w:rsidRPr="007D4425" w:rsidRDefault="007D4425" w:rsidP="007D4425">
      <w:pPr>
        <w:rPr>
          <w:b/>
        </w:rPr>
      </w:pPr>
      <w:r w:rsidRPr="007D4425">
        <w:rPr>
          <w:b/>
        </w:rPr>
        <w:lastRenderedPageBreak/>
        <w:t>Liste noire</w:t>
      </w:r>
    </w:p>
    <w:p w14:paraId="0693B83F" w14:textId="77777777" w:rsidR="007D4425" w:rsidRDefault="007D4425" w:rsidP="007D4425"/>
    <w:p w14:paraId="0693B840" w14:textId="77777777" w:rsidR="007D4425" w:rsidRDefault="00DD6AC5" w:rsidP="0086187F">
      <w:pPr>
        <w:numPr>
          <w:ilvl w:val="0"/>
          <w:numId w:val="36"/>
        </w:numPr>
      </w:pPr>
      <w:r>
        <w:t>Costa Rica</w:t>
      </w:r>
    </w:p>
    <w:p w14:paraId="0693B841" w14:textId="77777777" w:rsidR="007D4425" w:rsidRDefault="00DD6AC5" w:rsidP="0086187F">
      <w:pPr>
        <w:numPr>
          <w:ilvl w:val="0"/>
          <w:numId w:val="36"/>
        </w:numPr>
      </w:pPr>
      <w:r>
        <w:t>Malaisie</w:t>
      </w:r>
    </w:p>
    <w:p w14:paraId="0693B842" w14:textId="77777777" w:rsidR="007D4425" w:rsidRDefault="007D4425" w:rsidP="007D4425"/>
    <w:p w14:paraId="0693B843" w14:textId="77777777" w:rsidR="007D4425" w:rsidRPr="007D4425" w:rsidRDefault="007D4425" w:rsidP="007D4425">
      <w:pPr>
        <w:rPr>
          <w:b/>
        </w:rPr>
      </w:pPr>
      <w:r w:rsidRPr="007D4425">
        <w:rPr>
          <w:b/>
        </w:rPr>
        <w:t>Liste grise</w:t>
      </w:r>
    </w:p>
    <w:p w14:paraId="0693B844" w14:textId="77777777" w:rsidR="007D4425" w:rsidRDefault="007D4425" w:rsidP="007D4425"/>
    <w:p w14:paraId="0693B845" w14:textId="77777777" w:rsidR="007D4425" w:rsidRDefault="007D4425" w:rsidP="0086187F">
      <w:pPr>
        <w:numPr>
          <w:ilvl w:val="0"/>
          <w:numId w:val="37"/>
        </w:numPr>
      </w:pPr>
      <w:r>
        <w:t xml:space="preserve">Anguilla </w:t>
      </w:r>
    </w:p>
    <w:p w14:paraId="0693B846" w14:textId="77777777" w:rsidR="007D4425" w:rsidRDefault="00DD6AC5" w:rsidP="0086187F">
      <w:pPr>
        <w:numPr>
          <w:ilvl w:val="0"/>
          <w:numId w:val="37"/>
        </w:numPr>
      </w:pPr>
      <w:r>
        <w:t>Andorre</w:t>
      </w:r>
    </w:p>
    <w:p w14:paraId="0693B847" w14:textId="77777777" w:rsidR="007D4425" w:rsidRDefault="007D4425" w:rsidP="0086187F">
      <w:pPr>
        <w:numPr>
          <w:ilvl w:val="0"/>
          <w:numId w:val="37"/>
        </w:numPr>
      </w:pPr>
      <w:r>
        <w:t>Antigua-et-Barbuda</w:t>
      </w:r>
    </w:p>
    <w:p w14:paraId="0693B848" w14:textId="77777777" w:rsidR="007D4425" w:rsidRDefault="007D4425" w:rsidP="0086187F">
      <w:pPr>
        <w:numPr>
          <w:ilvl w:val="0"/>
          <w:numId w:val="37"/>
        </w:numPr>
      </w:pPr>
      <w:r>
        <w:t xml:space="preserve">Antilles </w:t>
      </w:r>
    </w:p>
    <w:p w14:paraId="0693B849" w14:textId="77777777" w:rsidR="007D4425" w:rsidRPr="007D4425" w:rsidRDefault="007D4425" w:rsidP="0086187F">
      <w:pPr>
        <w:numPr>
          <w:ilvl w:val="0"/>
          <w:numId w:val="37"/>
        </w:numPr>
        <w:rPr>
          <w:lang w:val="en-US"/>
        </w:rPr>
      </w:pPr>
      <w:r w:rsidRPr="007D4425">
        <w:rPr>
          <w:lang w:val="en-US"/>
        </w:rPr>
        <w:t xml:space="preserve">Aruba </w:t>
      </w:r>
    </w:p>
    <w:p w14:paraId="0693B84A" w14:textId="77777777" w:rsidR="007D4425" w:rsidRPr="007D4425" w:rsidRDefault="007D4425" w:rsidP="0086187F">
      <w:pPr>
        <w:numPr>
          <w:ilvl w:val="0"/>
          <w:numId w:val="37"/>
        </w:numPr>
        <w:rPr>
          <w:lang w:val="en-US"/>
        </w:rPr>
      </w:pPr>
      <w:r w:rsidRPr="007D4425">
        <w:rPr>
          <w:lang w:val="en-US"/>
        </w:rPr>
        <w:lastRenderedPageBreak/>
        <w:t xml:space="preserve">Bahreïn </w:t>
      </w:r>
    </w:p>
    <w:p w14:paraId="0693B84B" w14:textId="77777777" w:rsidR="007D4425" w:rsidRPr="007D4425" w:rsidRDefault="007D4425" w:rsidP="0086187F">
      <w:pPr>
        <w:numPr>
          <w:ilvl w:val="0"/>
          <w:numId w:val="37"/>
        </w:numPr>
        <w:rPr>
          <w:lang w:val="en-US"/>
        </w:rPr>
      </w:pPr>
      <w:r w:rsidRPr="007D4425">
        <w:rPr>
          <w:lang w:val="en-US"/>
        </w:rPr>
        <w:t xml:space="preserve">Barbade </w:t>
      </w:r>
    </w:p>
    <w:p w14:paraId="0693B84C" w14:textId="77777777" w:rsidR="007D4425" w:rsidRDefault="007D4425" w:rsidP="0086187F">
      <w:pPr>
        <w:numPr>
          <w:ilvl w:val="0"/>
          <w:numId w:val="37"/>
        </w:numPr>
      </w:pPr>
      <w:r>
        <w:t xml:space="preserve">Belize </w:t>
      </w:r>
    </w:p>
    <w:p w14:paraId="0693B84D" w14:textId="77777777" w:rsidR="007D4425" w:rsidRDefault="007D4425" w:rsidP="0086187F">
      <w:pPr>
        <w:numPr>
          <w:ilvl w:val="0"/>
          <w:numId w:val="37"/>
        </w:numPr>
      </w:pPr>
      <w:r>
        <w:t xml:space="preserve">Bermudes </w:t>
      </w:r>
    </w:p>
    <w:p w14:paraId="0693B84E" w14:textId="77777777" w:rsidR="007D4425" w:rsidRDefault="007D4425" w:rsidP="0086187F">
      <w:pPr>
        <w:numPr>
          <w:ilvl w:val="0"/>
          <w:numId w:val="37"/>
        </w:numPr>
      </w:pPr>
      <w:r>
        <w:t xml:space="preserve">Îles Cook </w:t>
      </w:r>
    </w:p>
    <w:p w14:paraId="0693B850" w14:textId="7B2D0E15" w:rsidR="007D4425" w:rsidRDefault="007D4425" w:rsidP="0086187F">
      <w:pPr>
        <w:numPr>
          <w:ilvl w:val="0"/>
          <w:numId w:val="37"/>
        </w:numPr>
      </w:pPr>
      <w:r>
        <w:t>Delaware</w:t>
      </w:r>
    </w:p>
    <w:p w14:paraId="0693B851" w14:textId="77777777" w:rsidR="007D4425" w:rsidRDefault="007D4425" w:rsidP="0086187F">
      <w:pPr>
        <w:numPr>
          <w:ilvl w:val="0"/>
          <w:numId w:val="37"/>
        </w:numPr>
      </w:pPr>
      <w:r>
        <w:t xml:space="preserve">Dominique </w:t>
      </w:r>
    </w:p>
    <w:p w14:paraId="0693B852" w14:textId="77777777" w:rsidR="007D4425" w:rsidRDefault="007D4425" w:rsidP="0086187F">
      <w:pPr>
        <w:numPr>
          <w:ilvl w:val="0"/>
          <w:numId w:val="37"/>
        </w:numPr>
      </w:pPr>
      <w:r>
        <w:t xml:space="preserve">Gibraltar </w:t>
      </w:r>
    </w:p>
    <w:p w14:paraId="0693B853" w14:textId="77777777" w:rsidR="007D4425" w:rsidRDefault="007D4425" w:rsidP="0086187F">
      <w:pPr>
        <w:numPr>
          <w:ilvl w:val="0"/>
          <w:numId w:val="37"/>
        </w:numPr>
      </w:pPr>
      <w:r>
        <w:t xml:space="preserve">Grenade </w:t>
      </w:r>
    </w:p>
    <w:p w14:paraId="0693B854" w14:textId="77777777" w:rsidR="007D4425" w:rsidRDefault="007D4425" w:rsidP="0086187F">
      <w:pPr>
        <w:numPr>
          <w:ilvl w:val="0"/>
          <w:numId w:val="37"/>
        </w:numPr>
      </w:pPr>
      <w:r>
        <w:t xml:space="preserve">Liberia </w:t>
      </w:r>
    </w:p>
    <w:p w14:paraId="0693B855" w14:textId="77777777" w:rsidR="007D4425" w:rsidRDefault="007D4425" w:rsidP="0086187F">
      <w:pPr>
        <w:numPr>
          <w:ilvl w:val="0"/>
          <w:numId w:val="37"/>
        </w:numPr>
      </w:pPr>
      <w:r>
        <w:t>Liechtenstein, retiré de la liste grise en 2010</w:t>
      </w:r>
    </w:p>
    <w:p w14:paraId="0693B856" w14:textId="77777777" w:rsidR="007D4425" w:rsidRDefault="007D4425" w:rsidP="0086187F">
      <w:pPr>
        <w:numPr>
          <w:ilvl w:val="0"/>
          <w:numId w:val="37"/>
        </w:numPr>
      </w:pPr>
      <w:r>
        <w:t>Malaisie (Labuan)</w:t>
      </w:r>
    </w:p>
    <w:p w14:paraId="0693B857" w14:textId="77777777" w:rsidR="007D4425" w:rsidRDefault="007D4425" w:rsidP="0086187F">
      <w:pPr>
        <w:numPr>
          <w:ilvl w:val="0"/>
          <w:numId w:val="37"/>
        </w:numPr>
      </w:pPr>
      <w:r>
        <w:t xml:space="preserve">Monaco </w:t>
      </w:r>
    </w:p>
    <w:p w14:paraId="0693B858" w14:textId="77777777" w:rsidR="007D4425" w:rsidRDefault="007D4425" w:rsidP="0086187F">
      <w:pPr>
        <w:numPr>
          <w:ilvl w:val="0"/>
          <w:numId w:val="37"/>
        </w:numPr>
      </w:pPr>
      <w:r>
        <w:t>Îles Marshall</w:t>
      </w:r>
    </w:p>
    <w:p w14:paraId="0693B859" w14:textId="77777777" w:rsidR="007D4425" w:rsidRDefault="007D4425" w:rsidP="0086187F">
      <w:pPr>
        <w:numPr>
          <w:ilvl w:val="0"/>
          <w:numId w:val="37"/>
        </w:numPr>
      </w:pPr>
      <w:r>
        <w:t xml:space="preserve">Montserrat </w:t>
      </w:r>
    </w:p>
    <w:p w14:paraId="0693B85A" w14:textId="77777777" w:rsidR="007D4425" w:rsidRDefault="00DD6AC5" w:rsidP="0086187F">
      <w:pPr>
        <w:numPr>
          <w:ilvl w:val="0"/>
          <w:numId w:val="37"/>
        </w:numPr>
      </w:pPr>
      <w:r>
        <w:t>Nauru</w:t>
      </w:r>
    </w:p>
    <w:p w14:paraId="0693B85B" w14:textId="77777777" w:rsidR="007D4425" w:rsidRDefault="007D4425" w:rsidP="0086187F">
      <w:pPr>
        <w:numPr>
          <w:ilvl w:val="0"/>
          <w:numId w:val="37"/>
        </w:numPr>
      </w:pPr>
      <w:r>
        <w:t xml:space="preserve">Niue </w:t>
      </w:r>
    </w:p>
    <w:p w14:paraId="0693B85C" w14:textId="77777777" w:rsidR="003840E2" w:rsidRDefault="003840E2" w:rsidP="0086187F">
      <w:pPr>
        <w:numPr>
          <w:ilvl w:val="0"/>
          <w:numId w:val="37"/>
        </w:numPr>
      </w:pPr>
      <w:r>
        <w:t>Panama</w:t>
      </w:r>
    </w:p>
    <w:p w14:paraId="0693B85D" w14:textId="77777777" w:rsidR="007D4425" w:rsidRDefault="007D4425" w:rsidP="0086187F">
      <w:pPr>
        <w:numPr>
          <w:ilvl w:val="0"/>
          <w:numId w:val="37"/>
        </w:numPr>
      </w:pPr>
      <w:r>
        <w:t>Saint-Christophe-et-</w:t>
      </w:r>
      <w:r w:rsidR="003840E2">
        <w:t xml:space="preserve"> </w:t>
      </w:r>
      <w:r>
        <w:t xml:space="preserve">Saint-Vincent-et-les Grenadines Saint-Marin </w:t>
      </w:r>
    </w:p>
    <w:p w14:paraId="0693B85E" w14:textId="77777777" w:rsidR="007D4425" w:rsidRDefault="007D4425" w:rsidP="0086187F">
      <w:pPr>
        <w:numPr>
          <w:ilvl w:val="0"/>
          <w:numId w:val="37"/>
        </w:numPr>
      </w:pPr>
      <w:r>
        <w:t xml:space="preserve">Sainte-Lucie </w:t>
      </w:r>
    </w:p>
    <w:p w14:paraId="0693B85F" w14:textId="77777777" w:rsidR="007D4425" w:rsidRDefault="007D4425" w:rsidP="0086187F">
      <w:pPr>
        <w:numPr>
          <w:ilvl w:val="0"/>
          <w:numId w:val="37"/>
        </w:numPr>
      </w:pPr>
      <w:r>
        <w:lastRenderedPageBreak/>
        <w:t xml:space="preserve">Drapeau des Samoa </w:t>
      </w:r>
    </w:p>
    <w:p w14:paraId="0693B860" w14:textId="77777777" w:rsidR="007D4425" w:rsidRDefault="007D4425" w:rsidP="0086187F">
      <w:pPr>
        <w:numPr>
          <w:ilvl w:val="0"/>
          <w:numId w:val="37"/>
        </w:numPr>
      </w:pPr>
      <w:r>
        <w:t xml:space="preserve">Îles Turques-et-Caïques </w:t>
      </w:r>
    </w:p>
    <w:p w14:paraId="0693B861" w14:textId="77777777" w:rsidR="003840E2" w:rsidRDefault="007D4425" w:rsidP="0086187F">
      <w:pPr>
        <w:numPr>
          <w:ilvl w:val="0"/>
          <w:numId w:val="37"/>
        </w:numPr>
      </w:pPr>
      <w:r>
        <w:t xml:space="preserve">Uruguay </w:t>
      </w:r>
    </w:p>
    <w:p w14:paraId="0693B862" w14:textId="77777777" w:rsidR="007D4425" w:rsidRDefault="007D4425" w:rsidP="0086187F">
      <w:pPr>
        <w:numPr>
          <w:ilvl w:val="0"/>
          <w:numId w:val="37"/>
        </w:numPr>
      </w:pPr>
      <w:r>
        <w:t xml:space="preserve">Îles Vierges britanniques </w:t>
      </w:r>
    </w:p>
    <w:p w14:paraId="0693B863" w14:textId="77777777" w:rsidR="003840E2" w:rsidRDefault="003840E2" w:rsidP="007D4425">
      <w:pPr>
        <w:rPr>
          <w:b/>
        </w:rPr>
      </w:pPr>
    </w:p>
    <w:p w14:paraId="0693B864" w14:textId="77777777" w:rsidR="007D4425" w:rsidRPr="007D4425" w:rsidRDefault="007D4425" w:rsidP="007D4425">
      <w:pPr>
        <w:rPr>
          <w:b/>
        </w:rPr>
      </w:pPr>
      <w:r w:rsidRPr="007D4425">
        <w:rPr>
          <w:b/>
        </w:rPr>
        <w:t xml:space="preserve">« Offshore Financial </w:t>
      </w:r>
      <w:r>
        <w:rPr>
          <w:b/>
        </w:rPr>
        <w:t>Centers » selon le FMI de 2007</w:t>
      </w:r>
    </w:p>
    <w:p w14:paraId="0693B865" w14:textId="77777777" w:rsidR="007D4425" w:rsidRDefault="007D4425" w:rsidP="0086187F">
      <w:pPr>
        <w:numPr>
          <w:ilvl w:val="0"/>
          <w:numId w:val="38"/>
        </w:numPr>
      </w:pPr>
      <w:r>
        <w:t xml:space="preserve">Antilles néerlandaises </w:t>
      </w:r>
    </w:p>
    <w:p w14:paraId="0693B866" w14:textId="77777777" w:rsidR="007D4425" w:rsidRDefault="007D4425" w:rsidP="0086187F">
      <w:pPr>
        <w:numPr>
          <w:ilvl w:val="0"/>
          <w:numId w:val="38"/>
        </w:numPr>
      </w:pPr>
      <w:r>
        <w:t xml:space="preserve">Bahamas </w:t>
      </w:r>
    </w:p>
    <w:p w14:paraId="0693B867" w14:textId="77777777" w:rsidR="007D4425" w:rsidRDefault="007D4425" w:rsidP="0086187F">
      <w:pPr>
        <w:numPr>
          <w:ilvl w:val="0"/>
          <w:numId w:val="38"/>
        </w:numPr>
      </w:pPr>
      <w:r>
        <w:t xml:space="preserve">Bermudes </w:t>
      </w:r>
    </w:p>
    <w:p w14:paraId="0693B868" w14:textId="77777777" w:rsidR="007D4425" w:rsidRDefault="00DD6AC5" w:rsidP="0086187F">
      <w:pPr>
        <w:numPr>
          <w:ilvl w:val="0"/>
          <w:numId w:val="38"/>
        </w:numPr>
      </w:pPr>
      <w:r>
        <w:t>îles Caïman</w:t>
      </w:r>
      <w:r w:rsidR="007D4425">
        <w:t xml:space="preserve">s </w:t>
      </w:r>
    </w:p>
    <w:p w14:paraId="0693B869" w14:textId="77777777" w:rsidR="007D4425" w:rsidRDefault="007D4425" w:rsidP="0086187F">
      <w:pPr>
        <w:numPr>
          <w:ilvl w:val="0"/>
          <w:numId w:val="38"/>
        </w:numPr>
      </w:pPr>
      <w:r>
        <w:t xml:space="preserve">Grenade </w:t>
      </w:r>
    </w:p>
    <w:p w14:paraId="0693B86A" w14:textId="77777777" w:rsidR="007D4425" w:rsidRDefault="007D4425" w:rsidP="0086187F">
      <w:pPr>
        <w:numPr>
          <w:ilvl w:val="0"/>
          <w:numId w:val="38"/>
        </w:numPr>
      </w:pPr>
      <w:r>
        <w:t xml:space="preserve">Bahreïn </w:t>
      </w:r>
    </w:p>
    <w:p w14:paraId="0693B86B" w14:textId="77777777" w:rsidR="007D4425" w:rsidRDefault="00DD6AC5" w:rsidP="0086187F">
      <w:pPr>
        <w:numPr>
          <w:ilvl w:val="0"/>
          <w:numId w:val="38"/>
        </w:numPr>
      </w:pPr>
      <w:r>
        <w:t>Hong Kong</w:t>
      </w:r>
    </w:p>
    <w:p w14:paraId="0693B86C" w14:textId="77777777" w:rsidR="007D4425" w:rsidRDefault="007D4425" w:rsidP="0086187F">
      <w:pPr>
        <w:numPr>
          <w:ilvl w:val="0"/>
          <w:numId w:val="38"/>
        </w:numPr>
      </w:pPr>
      <w:r>
        <w:t xml:space="preserve">Singapour </w:t>
      </w:r>
    </w:p>
    <w:p w14:paraId="0693B86D" w14:textId="77777777" w:rsidR="007D4425" w:rsidRDefault="007D4425" w:rsidP="0086187F">
      <w:pPr>
        <w:numPr>
          <w:ilvl w:val="0"/>
          <w:numId w:val="38"/>
        </w:numPr>
      </w:pPr>
      <w:r>
        <w:t xml:space="preserve">Guernesey </w:t>
      </w:r>
    </w:p>
    <w:p w14:paraId="0693B86E" w14:textId="77777777" w:rsidR="007D4425" w:rsidRDefault="007D4425" w:rsidP="0086187F">
      <w:pPr>
        <w:numPr>
          <w:ilvl w:val="0"/>
          <w:numId w:val="38"/>
        </w:numPr>
      </w:pPr>
      <w:r>
        <w:t xml:space="preserve">Luxembourg </w:t>
      </w:r>
    </w:p>
    <w:p w14:paraId="0693B86F" w14:textId="77777777" w:rsidR="007D4425" w:rsidRDefault="007D4425" w:rsidP="0086187F">
      <w:pPr>
        <w:numPr>
          <w:ilvl w:val="0"/>
          <w:numId w:val="38"/>
        </w:numPr>
      </w:pPr>
      <w:r>
        <w:t xml:space="preserve">Malte </w:t>
      </w:r>
    </w:p>
    <w:p w14:paraId="0693B870" w14:textId="77777777" w:rsidR="007D4425" w:rsidRDefault="007D4425" w:rsidP="0086187F">
      <w:pPr>
        <w:numPr>
          <w:ilvl w:val="0"/>
          <w:numId w:val="38"/>
        </w:numPr>
        <w:rPr>
          <w:szCs w:val="20"/>
        </w:rPr>
      </w:pPr>
      <w:r w:rsidRPr="007D4425">
        <w:rPr>
          <w:szCs w:val="20"/>
        </w:rPr>
        <w:t xml:space="preserve">Royaume-Uni </w:t>
      </w:r>
    </w:p>
    <w:p w14:paraId="0693B871" w14:textId="77777777" w:rsidR="007D4425" w:rsidRPr="007D4425" w:rsidRDefault="007D4425" w:rsidP="0086187F">
      <w:pPr>
        <w:numPr>
          <w:ilvl w:val="0"/>
          <w:numId w:val="38"/>
        </w:numPr>
        <w:rPr>
          <w:szCs w:val="20"/>
        </w:rPr>
      </w:pPr>
      <w:r w:rsidRPr="007D4425">
        <w:rPr>
          <w:szCs w:val="20"/>
        </w:rPr>
        <w:t xml:space="preserve">Suisse </w:t>
      </w:r>
    </w:p>
    <w:p w14:paraId="0693B872" w14:textId="77777777" w:rsidR="007D4425" w:rsidRPr="007D4425" w:rsidRDefault="007D4425" w:rsidP="0086187F">
      <w:pPr>
        <w:numPr>
          <w:ilvl w:val="0"/>
          <w:numId w:val="38"/>
        </w:numPr>
        <w:rPr>
          <w:rFonts w:ascii="Arial" w:hAnsi="Arial" w:cs="Arial"/>
          <w:b/>
          <w:bCs/>
          <w:szCs w:val="20"/>
        </w:rPr>
      </w:pPr>
      <w:r w:rsidRPr="007D4425">
        <w:rPr>
          <w:szCs w:val="20"/>
        </w:rPr>
        <w:t xml:space="preserve">Vatican  </w:t>
      </w:r>
    </w:p>
    <w:p w14:paraId="0693B873" w14:textId="77777777" w:rsidR="003840E2" w:rsidRPr="003840E2" w:rsidRDefault="003840E2" w:rsidP="003840E2">
      <w:pPr>
        <w:sectPr w:rsidR="003840E2" w:rsidRPr="003840E2" w:rsidSect="007D4425">
          <w:type w:val="continuous"/>
          <w:pgSz w:w="11906" w:h="16838" w:code="9"/>
          <w:pgMar w:top="1418" w:right="1418" w:bottom="1418" w:left="1418" w:header="709" w:footer="709" w:gutter="0"/>
          <w:cols w:num="2" w:space="708"/>
          <w:titlePg/>
          <w:docGrid w:linePitch="360"/>
        </w:sectPr>
      </w:pPr>
    </w:p>
    <w:p w14:paraId="0693B874" w14:textId="77777777" w:rsidR="00102E6A" w:rsidRDefault="00102E6A" w:rsidP="003840E2">
      <w:pPr>
        <w:pStyle w:val="Titre3"/>
        <w:rPr>
          <w:szCs w:val="28"/>
        </w:rPr>
      </w:pPr>
      <w:bookmarkStart w:id="372" w:name="_Toc482815677"/>
      <w:r w:rsidRPr="003840E2">
        <w:rPr>
          <w:szCs w:val="28"/>
        </w:rPr>
        <w:lastRenderedPageBreak/>
        <w:t>Intervenants</w:t>
      </w:r>
      <w:bookmarkEnd w:id="372"/>
    </w:p>
    <w:p w14:paraId="0693B875" w14:textId="77777777" w:rsidR="00017714" w:rsidRDefault="00017714" w:rsidP="00017714">
      <w:pPr>
        <w:jc w:val="both"/>
      </w:pPr>
      <w:r>
        <w:t>Le trust est administré par un trustee, qui peut être un solicitor (c’est-à-dire un avocat). Un trust s’apparente à ce que les Français appellent une fiducie, ou sorte de convention de prête-nom.</w:t>
      </w:r>
    </w:p>
    <w:p w14:paraId="0693B876" w14:textId="77777777" w:rsidR="00017714" w:rsidRDefault="00017714" w:rsidP="00017714">
      <w:pPr>
        <w:jc w:val="both"/>
      </w:pPr>
    </w:p>
    <w:p w14:paraId="0693B877" w14:textId="77777777" w:rsidR="00017714" w:rsidRDefault="00017714" w:rsidP="00017714">
      <w:pPr>
        <w:jc w:val="both"/>
      </w:pPr>
      <w:r>
        <w:t>Un trust est constitué de minimum trois personnes :</w:t>
      </w:r>
    </w:p>
    <w:p w14:paraId="0693B878" w14:textId="77777777" w:rsidR="00017714" w:rsidRDefault="00017714" w:rsidP="0086187F">
      <w:pPr>
        <w:numPr>
          <w:ilvl w:val="0"/>
          <w:numId w:val="39"/>
        </w:numPr>
        <w:jc w:val="both"/>
      </w:pPr>
      <w:r>
        <w:t>Le créateur du trust, qui en est le véritable propriétaire, appelé settlor ou grantor.</w:t>
      </w:r>
    </w:p>
    <w:p w14:paraId="0693B879" w14:textId="77777777" w:rsidR="00017714" w:rsidRDefault="00017714" w:rsidP="0086187F">
      <w:pPr>
        <w:numPr>
          <w:ilvl w:val="0"/>
          <w:numId w:val="39"/>
        </w:numPr>
        <w:jc w:val="both"/>
      </w:pPr>
      <w:r>
        <w:t>Le trustee, qui apparaît vis-à-vis des tiers comme étant le propriétaire du trust, mais qui agit essentiellement dans le c’est-à-dire d’une convention (comportant, éventuellement et notamment, des ordres en blanc) le liant au véritable propriétaire.</w:t>
      </w:r>
    </w:p>
    <w:p w14:paraId="0693B87A" w14:textId="77777777" w:rsidR="00017714" w:rsidRPr="00017714" w:rsidRDefault="00017714" w:rsidP="0086187F">
      <w:pPr>
        <w:numPr>
          <w:ilvl w:val="0"/>
          <w:numId w:val="39"/>
        </w:numPr>
        <w:jc w:val="both"/>
      </w:pPr>
      <w:r>
        <w:t>Le(s) bénéficiaire(s), appelé beneficial owner, à qui reviendront les possessions du trust à la fin de la convention entre le trustee et le propriétaire réel.</w:t>
      </w:r>
    </w:p>
    <w:p w14:paraId="0693B87B" w14:textId="77777777" w:rsidR="00102E6A" w:rsidRDefault="00102E6A" w:rsidP="00102E6A">
      <w:pPr>
        <w:pStyle w:val="Titre3"/>
      </w:pPr>
      <w:bookmarkStart w:id="373" w:name="_Toc482815678"/>
      <w:r>
        <w:t>Mode de fonctionnement</w:t>
      </w:r>
      <w:bookmarkEnd w:id="373"/>
    </w:p>
    <w:p w14:paraId="0693B87C" w14:textId="77777777" w:rsidR="00017714" w:rsidRDefault="00017714" w:rsidP="00017714">
      <w:r>
        <w:t>La confiance est garantie par :</w:t>
      </w:r>
    </w:p>
    <w:p w14:paraId="0693B87D" w14:textId="77777777" w:rsidR="00017714" w:rsidRDefault="00017714" w:rsidP="0086187F">
      <w:pPr>
        <w:numPr>
          <w:ilvl w:val="0"/>
          <w:numId w:val="40"/>
        </w:numPr>
      </w:pPr>
      <w:r>
        <w:t>Des ordres en blanc, signés par le trustee.</w:t>
      </w:r>
    </w:p>
    <w:p w14:paraId="0693B87E" w14:textId="77777777" w:rsidR="00017714" w:rsidRPr="00017714" w:rsidRDefault="00017714" w:rsidP="0086187F">
      <w:pPr>
        <w:numPr>
          <w:ilvl w:val="0"/>
          <w:numId w:val="40"/>
        </w:numPr>
      </w:pPr>
      <w:r>
        <w:t>L</w:t>
      </w:r>
      <w:r w:rsidR="000D6808">
        <w:t>es</w:t>
      </w:r>
      <w:r>
        <w:t xml:space="preserve"> démission</w:t>
      </w:r>
      <w:r w:rsidR="000D6808">
        <w:t xml:space="preserve">s(homologuées et authentifiées) </w:t>
      </w:r>
      <w:r>
        <w:t>d</w:t>
      </w:r>
      <w:r w:rsidR="000D6808">
        <w:t>es</w:t>
      </w:r>
      <w:r>
        <w:t xml:space="preserve"> trustee</w:t>
      </w:r>
      <w:r w:rsidR="000D6808">
        <w:t>s</w:t>
      </w:r>
      <w:r>
        <w:t>, sans date…</w:t>
      </w:r>
    </w:p>
    <w:p w14:paraId="0693B87F" w14:textId="77777777" w:rsidR="00102E6A" w:rsidRDefault="00102E6A" w:rsidP="00102E6A">
      <w:pPr>
        <w:pStyle w:val="Titre3"/>
      </w:pPr>
      <w:bookmarkStart w:id="374" w:name="_Toc482815679"/>
      <w:r>
        <w:t>Principe du montage</w:t>
      </w:r>
      <w:bookmarkEnd w:id="374"/>
    </w:p>
    <w:p w14:paraId="0693B880" w14:textId="77777777" w:rsidR="00017714" w:rsidRPr="00017714" w:rsidRDefault="00017714" w:rsidP="00017714">
      <w:r>
        <w:t>Créer une société dans un pays limitrophe, puis un trust dans un pays off-shore (= hors frontières).</w:t>
      </w:r>
    </w:p>
    <w:p w14:paraId="0693B881" w14:textId="77777777" w:rsidR="00E244ED" w:rsidRDefault="00E244ED" w:rsidP="00E244ED">
      <w:pPr>
        <w:pStyle w:val="Titre3"/>
      </w:pPr>
      <w:bookmarkStart w:id="375" w:name="_Toc482815680"/>
      <w:r>
        <w:lastRenderedPageBreak/>
        <w:t>Attention aux Îles Caïmans</w:t>
      </w:r>
      <w:r w:rsidR="00017714">
        <w:t> !</w:t>
      </w:r>
      <w:bookmarkEnd w:id="375"/>
    </w:p>
    <w:p w14:paraId="0693B882" w14:textId="77777777" w:rsidR="00017714" w:rsidRPr="00017714" w:rsidRDefault="00017714" w:rsidP="00017714">
      <w:pPr>
        <w:jc w:val="both"/>
      </w:pPr>
      <w:r>
        <w:t>Dans cette juridiction, l’apposition de la forme de société, comme Ltd ou Cie (équivalents de nos SPRL et autres SA) n’est pas obligatoire…</w:t>
      </w:r>
    </w:p>
    <w:p w14:paraId="0693B883" w14:textId="77777777" w:rsidR="004C64BF" w:rsidRDefault="004C64BF" w:rsidP="00105A84">
      <w:pPr>
        <w:pStyle w:val="Titre2"/>
      </w:pPr>
      <w:bookmarkStart w:id="376" w:name="Fonctionnement_d_une_banque_en"/>
      <w:bookmarkStart w:id="377" w:name="Soci_t_de_type_Trust_aux_les_C"/>
      <w:bookmarkStart w:id="378" w:name="Diff_rence_entre_pouvoir_finan"/>
      <w:bookmarkStart w:id="379" w:name="_Toc482815681"/>
      <w:bookmarkEnd w:id="376"/>
      <w:bookmarkEnd w:id="377"/>
      <w:bookmarkEnd w:id="378"/>
      <w:r>
        <w:t>Différence entre pouvoir financier et pouvoir de décision en entreprise de type holding</w:t>
      </w:r>
      <w:bookmarkEnd w:id="379"/>
      <w:r>
        <w:t xml:space="preserve"> </w:t>
      </w:r>
    </w:p>
    <w:p w14:paraId="0693B884" w14:textId="77777777" w:rsidR="00214EE8" w:rsidRPr="00214EE8" w:rsidRDefault="00214EE8" w:rsidP="00214EE8">
      <w:r>
        <w:t xml:space="preserve">Illustration : </w:t>
      </w:r>
      <w:hyperlink r:id="rId144" w:history="1">
        <w:r w:rsidRPr="00214EE8">
          <w:rPr>
            <w:rStyle w:val="Lienhypertexte"/>
          </w:rPr>
          <w:t>https://www.youtube.com/watch?v=y97rBdSYbkg</w:t>
        </w:r>
      </w:hyperlink>
    </w:p>
    <w:p w14:paraId="0693B885" w14:textId="77777777" w:rsidR="004C64BF" w:rsidRDefault="004C64BF" w:rsidP="007946A5">
      <w:pPr>
        <w:pStyle w:val="Titre3"/>
      </w:pPr>
      <w:r>
        <w:t xml:space="preserve"> </w:t>
      </w:r>
      <w:bookmarkStart w:id="380" w:name="Pouvoir_financier_de_Fr_re_Bou"/>
      <w:bookmarkStart w:id="381" w:name="_Toc482815682"/>
      <w:bookmarkEnd w:id="380"/>
      <w:r>
        <w:t>Pouvoir financier de Frère-Bourgeois dans CNP</w:t>
      </w:r>
      <w:bookmarkEnd w:id="381"/>
      <w:r>
        <w:t xml:space="preserve"> </w:t>
      </w:r>
    </w:p>
    <w:p w14:paraId="0693B886" w14:textId="77777777" w:rsidR="004C64BF" w:rsidRDefault="004C64BF" w:rsidP="006F75CE">
      <w:pPr>
        <w:pStyle w:val="StyleAprs14pt"/>
      </w:pPr>
      <w:r>
        <w:t>18,9 % + 53 % * 45,2 % = …</w:t>
      </w:r>
      <w:r w:rsidR="00017714">
        <w:rPr>
          <w:rStyle w:val="Appelnotedebasdep"/>
        </w:rPr>
        <w:footnoteReference w:id="47"/>
      </w:r>
      <w:r>
        <w:t xml:space="preserve"> </w:t>
      </w:r>
    </w:p>
    <w:p w14:paraId="0693B887" w14:textId="77777777" w:rsidR="004C64BF" w:rsidRDefault="004C64BF" w:rsidP="00017714">
      <w:pPr>
        <w:pStyle w:val="Titre3"/>
      </w:pPr>
      <w:bookmarkStart w:id="382" w:name="Pouvoir_de_d_cision_de_Fr_re_B"/>
      <w:bookmarkStart w:id="383" w:name="_Toc482815683"/>
      <w:bookmarkEnd w:id="382"/>
      <w:r>
        <w:t xml:space="preserve">Pouvoir de </w:t>
      </w:r>
      <w:r w:rsidRPr="00017714">
        <w:t>décision</w:t>
      </w:r>
      <w:r>
        <w:t xml:space="preserve"> de Frère-Bourgeois dans CNP</w:t>
      </w:r>
      <w:bookmarkEnd w:id="383"/>
      <w:r>
        <w:t xml:space="preserve"> </w:t>
      </w:r>
    </w:p>
    <w:p w14:paraId="0693B888" w14:textId="77777777" w:rsidR="004C64BF" w:rsidRPr="007946A5" w:rsidRDefault="004C64BF" w:rsidP="0005457C">
      <w:pPr>
        <w:pStyle w:val="StyleDivAprs14pt"/>
        <w:rPr>
          <w:sz w:val="20"/>
        </w:rPr>
      </w:pPr>
      <w:r w:rsidRPr="007946A5">
        <w:rPr>
          <w:sz w:val="20"/>
        </w:rPr>
        <w:t xml:space="preserve">Principe: remplacer les 50 % et plus par 100 %, vu que lors d'une AG, il suffit d'avoir 50 % des parts plus une action pour prendre les décisions. La minorité de blocage est de 25 %. </w:t>
      </w:r>
    </w:p>
    <w:p w14:paraId="0693B889" w14:textId="77777777" w:rsidR="00F55D0B" w:rsidRDefault="00F55D0B" w:rsidP="006F75CE">
      <w:pPr>
        <w:pStyle w:val="StyleAprs14pt"/>
      </w:pPr>
      <w:r w:rsidRPr="007946A5">
        <w:t>18,9 % + 100 % * 45,2 % = …</w:t>
      </w:r>
      <w:r w:rsidR="00017714" w:rsidRPr="007946A5">
        <w:rPr>
          <w:rStyle w:val="Appelnotedebasdep"/>
        </w:rPr>
        <w:footnoteReference w:id="48"/>
      </w:r>
    </w:p>
    <w:p w14:paraId="0693B88A" w14:textId="77777777" w:rsidR="00D208FF" w:rsidRDefault="00D208FF" w:rsidP="00D208FF">
      <w:pPr>
        <w:pStyle w:val="Titre3"/>
      </w:pPr>
      <w:bookmarkStart w:id="384" w:name="_Toc482815684"/>
      <w:r>
        <w:lastRenderedPageBreak/>
        <w:t>Autre exemple</w:t>
      </w:r>
      <w:bookmarkEnd w:id="384"/>
    </w:p>
    <w:p w14:paraId="0693B88B" w14:textId="77777777" w:rsidR="00D208FF" w:rsidRPr="007946A5" w:rsidRDefault="00FB0892" w:rsidP="006F75CE">
      <w:pPr>
        <w:pStyle w:val="StyleAprs14pt"/>
      </w:pPr>
      <w:r>
        <w:rPr>
          <w:noProof/>
          <w:lang w:eastAsia="fr-BE"/>
        </w:rPr>
        <w:drawing>
          <wp:inline distT="0" distB="0" distL="0" distR="0" wp14:anchorId="0693BAF8" wp14:editId="0693BAF9">
            <wp:extent cx="5343525" cy="42005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43525" cy="4200525"/>
                    </a:xfrm>
                    <a:prstGeom prst="rect">
                      <a:avLst/>
                    </a:prstGeom>
                    <a:noFill/>
                    <a:ln>
                      <a:noFill/>
                    </a:ln>
                  </pic:spPr>
                </pic:pic>
              </a:graphicData>
            </a:graphic>
          </wp:inline>
        </w:drawing>
      </w:r>
    </w:p>
    <w:p w14:paraId="0693B88C" w14:textId="77777777" w:rsidR="004C64BF" w:rsidRDefault="007946A5" w:rsidP="00105A84">
      <w:pPr>
        <w:pStyle w:val="Titre2"/>
      </w:pPr>
      <w:bookmarkStart w:id="385" w:name="Principes_du_vol_de_10_000_000"/>
      <w:bookmarkStart w:id="386" w:name="_Toc482815685"/>
      <w:bookmarkEnd w:id="385"/>
      <w:r>
        <w:t>Application pratique</w:t>
      </w:r>
      <w:r w:rsidR="0017641A">
        <w:t xml:space="preserve"> </w:t>
      </w:r>
      <w:r w:rsidR="000D527E">
        <w:t>1</w:t>
      </w:r>
      <w:r>
        <w:t> :</w:t>
      </w:r>
      <w:r w:rsidR="004C64BF">
        <w:t xml:space="preserve"> </w:t>
      </w:r>
      <w:bookmarkStart w:id="387" w:name="j:_."/>
      <w:r w:rsidRPr="007946A5">
        <w:t>comment voler  10 000 000 USD</w:t>
      </w:r>
      <w:bookmarkEnd w:id="387"/>
      <w:r>
        <w:t> ?</w:t>
      </w:r>
      <w:bookmarkEnd w:id="386"/>
    </w:p>
    <w:p w14:paraId="0693B88D" w14:textId="77777777" w:rsidR="007946A5" w:rsidRPr="00282F1F" w:rsidRDefault="007946A5" w:rsidP="007946A5">
      <w:pPr>
        <w:pStyle w:val="Titre3"/>
      </w:pPr>
      <w:bookmarkStart w:id="388" w:name="_Toc225614255"/>
      <w:bookmarkStart w:id="389" w:name="_Toc482815686"/>
      <w:r w:rsidRPr="00282F1F">
        <w:t>Fortune des Feldwald</w:t>
      </w:r>
      <w:bookmarkEnd w:id="388"/>
      <w:bookmarkEnd w:id="389"/>
    </w:p>
    <w:p w14:paraId="0693B88E" w14:textId="77777777" w:rsidR="007946A5" w:rsidRDefault="007946A5" w:rsidP="007946A5">
      <w:pPr>
        <w:jc w:val="both"/>
      </w:pPr>
      <w:r>
        <w:t xml:space="preserve">Elle s’élève à 10 millions d’USD. Elle a été volée par Broglio, l’associé du père Feldwald. </w:t>
      </w:r>
    </w:p>
    <w:p w14:paraId="0693B88F" w14:textId="77777777" w:rsidR="007946A5" w:rsidRDefault="007946A5" w:rsidP="007946A5">
      <w:pPr>
        <w:spacing w:before="240"/>
        <w:jc w:val="both"/>
      </w:pPr>
      <w:r>
        <w:t>Pour vivre pendant ses études, le fils Feldwald dispose d’une rente de 5 000 francs suisses mensuels, provenant d’une assurance vie.</w:t>
      </w:r>
    </w:p>
    <w:p w14:paraId="0693B890" w14:textId="77777777" w:rsidR="007946A5" w:rsidRDefault="007946A5" w:rsidP="007946A5">
      <w:pPr>
        <w:spacing w:before="240"/>
        <w:jc w:val="both"/>
      </w:pPr>
      <w:r>
        <w:t xml:space="preserve">Pour des raisons fiscales, les Feldwald habitent </w:t>
      </w:r>
      <w:hyperlink r:id="rId146" w:history="1">
        <w:r w:rsidRPr="00777E5F">
          <w:rPr>
            <w:rStyle w:val="Lienhypertexte"/>
            <w:b/>
          </w:rPr>
          <w:t>Campione d’Italia</w:t>
        </w:r>
      </w:hyperlink>
      <w:r>
        <w:t>.</w:t>
      </w:r>
    </w:p>
    <w:p w14:paraId="0693B891" w14:textId="77777777" w:rsidR="007946A5" w:rsidRDefault="007946A5" w:rsidP="007946A5">
      <w:pPr>
        <w:pStyle w:val="Titre3"/>
      </w:pPr>
      <w:bookmarkStart w:id="390" w:name="_Toc225614256"/>
      <w:bookmarkStart w:id="391" w:name="_Toc482815687"/>
      <w:r>
        <w:t>Mécanisme de la fraude de Broglio</w:t>
      </w:r>
      <w:bookmarkEnd w:id="390"/>
      <w:bookmarkEnd w:id="391"/>
    </w:p>
    <w:p w14:paraId="0693B892" w14:textId="77777777" w:rsidR="007946A5" w:rsidRDefault="00105A84" w:rsidP="007946A5">
      <w:pPr>
        <w:spacing w:before="240"/>
        <w:jc w:val="both"/>
      </w:pPr>
      <w:hyperlink w:anchor="_Société_panaméenne_(Fighthaven)" w:history="1">
        <w:r w:rsidR="007946A5" w:rsidRPr="003D4522">
          <w:rPr>
            <w:rStyle w:val="Lienhypertexte"/>
            <w:b/>
          </w:rPr>
          <w:t>Fighthaven Panama</w:t>
        </w:r>
      </w:hyperlink>
      <w:r w:rsidR="007946A5">
        <w:t xml:space="preserve"> recevait, in fine, tous les fonds accumulés grâce au père Feldwald.</w:t>
      </w:r>
    </w:p>
    <w:p w14:paraId="0693B893" w14:textId="77777777" w:rsidR="007946A5" w:rsidRDefault="007946A5" w:rsidP="007946A5">
      <w:pPr>
        <w:spacing w:before="240"/>
        <w:jc w:val="both"/>
      </w:pPr>
      <w:r>
        <w:t xml:space="preserve">Ceux-ci provenaient de </w:t>
      </w:r>
      <w:hyperlink w:anchor="_Société_luxembourgeoise_(Fighthaven" w:history="1">
        <w:r w:rsidRPr="003D4522">
          <w:rPr>
            <w:rStyle w:val="Lienhypertexte"/>
            <w:b/>
          </w:rPr>
          <w:t>Fighthaven Luxembourg</w:t>
        </w:r>
      </w:hyperlink>
      <w:r>
        <w:t>.</w:t>
      </w:r>
    </w:p>
    <w:p w14:paraId="0693B894" w14:textId="77777777" w:rsidR="007946A5" w:rsidRDefault="007946A5" w:rsidP="007946A5">
      <w:pPr>
        <w:spacing w:before="240"/>
        <w:jc w:val="both"/>
      </w:pPr>
      <w:r>
        <w:t>Les fonds de cette dernière venaient du compte personnel de Feldwald père, grâce aux versements des commissions des clients dénichés pour Broglio.</w:t>
      </w:r>
    </w:p>
    <w:p w14:paraId="0693B895" w14:textId="77777777" w:rsidR="007946A5" w:rsidRDefault="007946A5" w:rsidP="007946A5">
      <w:pPr>
        <w:spacing w:before="240"/>
        <w:jc w:val="both"/>
      </w:pPr>
      <w:r>
        <w:lastRenderedPageBreak/>
        <w:t xml:space="preserve">Dès que Broglio a voulu spolier son associé Feldwald, il lui a suffi d’utiliser une dernière délibération en blanc (voir </w:t>
      </w:r>
      <w:r>
        <w:fldChar w:fldCharType="begin"/>
      </w:r>
      <w:r>
        <w:instrText xml:space="preserve"> REF _Ref133493281 \h </w:instrText>
      </w:r>
      <w:r>
        <w:fldChar w:fldCharType="separate"/>
      </w:r>
      <w:r>
        <w:t>Société panaméenne (Fighthaven)</w:t>
      </w:r>
      <w:r>
        <w:fldChar w:fldCharType="end"/>
      </w:r>
      <w:r>
        <w:t>), mentionnant le transfert de tous les fonds accumulés pendant des années, vers un compte tenu secret, auquel l’associé n’aura aucun droit de regard, ni, surtout, légalement, aucun recours. Dans le cas de l’affaire Feldwald, le transfert a eu lieu sur une banque aux Bahamas.</w:t>
      </w:r>
    </w:p>
    <w:p w14:paraId="0693B896" w14:textId="77777777" w:rsidR="007946A5" w:rsidRDefault="007946A5" w:rsidP="007946A5">
      <w:pPr>
        <w:jc w:val="both"/>
      </w:pPr>
      <w:r>
        <w:t xml:space="preserve">Certes, Feldwald père détenait bien encore 50 % des parts de </w:t>
      </w:r>
      <w:hyperlink w:anchor="_Société_panaméenne_(Fighthaven)" w:history="1">
        <w:r w:rsidRPr="00086FD3">
          <w:rPr>
            <w:rStyle w:val="Lienhypertexte"/>
          </w:rPr>
          <w:t>Fighthaven Panama</w:t>
        </w:r>
      </w:hyperlink>
      <w:r>
        <w:t xml:space="preserve"> au moment de l’escroquerie, mais 50 % de rien du tout…</w:t>
      </w:r>
    </w:p>
    <w:p w14:paraId="0693B897" w14:textId="77777777" w:rsidR="007946A5" w:rsidRDefault="007946A5" w:rsidP="007946A5">
      <w:pPr>
        <w:spacing w:before="240"/>
        <w:jc w:val="both"/>
      </w:pPr>
      <w:r>
        <w:t xml:space="preserve">Quant à la société </w:t>
      </w:r>
      <w:hyperlink w:anchor="_Société_anonyme_European_Entreprise" w:history="1">
        <w:r w:rsidRPr="003D4522">
          <w:rPr>
            <w:rStyle w:val="Lienhypertexte"/>
            <w:b/>
          </w:rPr>
          <w:t>European Entreprise Panama</w:t>
        </w:r>
      </w:hyperlink>
      <w:r>
        <w:t xml:space="preserve">, qui détenait tous les avoirs immobiliers de Feldwald père, celle-ci était en réalité détenue par des actions nominatives, via une </w:t>
      </w:r>
      <w:r w:rsidRPr="000D6808">
        <w:rPr>
          <w:b/>
        </w:rPr>
        <w:t>société caïmanaise au même nom que Feldwald</w:t>
      </w:r>
      <w:r>
        <w:t>, laquelle société était détenue, sous forme d’actions au porteur, par « l’associé » Broglio…</w:t>
      </w:r>
    </w:p>
    <w:p w14:paraId="0693B898" w14:textId="77777777" w:rsidR="007946A5" w:rsidRDefault="007946A5" w:rsidP="007946A5">
      <w:pPr>
        <w:jc w:val="both"/>
      </w:pPr>
      <w:r>
        <w:t xml:space="preserve">Mais cela, Feldwald ne le savait pas : il était persuadé d’être nommément propriétaire de </w:t>
      </w:r>
      <w:hyperlink w:anchor="_Société_anonyme_European_Entreprise" w:history="1">
        <w:r w:rsidRPr="00086FD3">
          <w:rPr>
            <w:rStyle w:val="Lienhypertexte"/>
          </w:rPr>
          <w:t>European Entreprise Panama</w:t>
        </w:r>
      </w:hyperlink>
      <w:r>
        <w:t>.</w:t>
      </w:r>
    </w:p>
    <w:p w14:paraId="0693B899" w14:textId="77777777" w:rsidR="007946A5" w:rsidRDefault="007946A5" w:rsidP="007946A5">
      <w:pPr>
        <w:spacing w:before="240"/>
        <w:jc w:val="both"/>
      </w:pPr>
      <w:r w:rsidRPr="003D4522">
        <w:rPr>
          <w:b/>
        </w:rPr>
        <w:t>Off-shore – Définition :</w:t>
      </w:r>
      <w:r>
        <w:t xml:space="preserve"> société qui est située hors des frontières du pays. Une société française est une société off-shore vis-à-vis de la Belgique, par exemple.</w:t>
      </w:r>
    </w:p>
    <w:p w14:paraId="0693B89A" w14:textId="77777777" w:rsidR="007946A5" w:rsidRDefault="007946A5" w:rsidP="007946A5">
      <w:pPr>
        <w:pStyle w:val="Titre3"/>
      </w:pPr>
      <w:bookmarkStart w:id="392" w:name="_Toc225614257"/>
      <w:bookmarkStart w:id="393" w:name="_Toc482815688"/>
      <w:r>
        <w:t>Explications de la fraude – Montages en Cascade</w:t>
      </w:r>
      <w:bookmarkEnd w:id="392"/>
      <w:bookmarkEnd w:id="393"/>
    </w:p>
    <w:p w14:paraId="0693B89B" w14:textId="77777777" w:rsidR="007946A5" w:rsidRPr="00282F1F" w:rsidRDefault="007946A5" w:rsidP="001F7D23">
      <w:pPr>
        <w:pStyle w:val="Titre4"/>
      </w:pPr>
      <w:bookmarkStart w:id="394" w:name="_Toc225614258"/>
      <w:r w:rsidRPr="00282F1F">
        <w:t>Compte en Suisse</w:t>
      </w:r>
      <w:bookmarkEnd w:id="394"/>
    </w:p>
    <w:p w14:paraId="0693B89C" w14:textId="77777777" w:rsidR="007946A5" w:rsidRDefault="007946A5" w:rsidP="007946A5">
      <w:pPr>
        <w:jc w:val="both"/>
      </w:pPr>
      <w:r>
        <w:t>Si on est légataire d’un compte suisse, on hérite du solde du compte, pas des mouvements. Sauf les mouvements ultérieurs à la succession, uniquement s’ils sont susceptibles d’influencer ladite succession.</w:t>
      </w:r>
    </w:p>
    <w:p w14:paraId="0693B89D" w14:textId="77777777" w:rsidR="007946A5" w:rsidRDefault="007946A5" w:rsidP="007946A5">
      <w:pPr>
        <w:jc w:val="both"/>
      </w:pPr>
      <w:r>
        <w:t>Tout compte (qu’il soit suisse ou non) peut être crédité de toutes sortes de choses : monnaies, titres, métaux, matières premières, enveloppes…</w:t>
      </w:r>
    </w:p>
    <w:p w14:paraId="0693B89E" w14:textId="77777777" w:rsidR="007946A5" w:rsidRDefault="007946A5" w:rsidP="001F7D23">
      <w:pPr>
        <w:pStyle w:val="Titre4"/>
      </w:pPr>
      <w:bookmarkStart w:id="395" w:name="_Société_luxembourgeoise_(Fighthaven"/>
      <w:bookmarkStart w:id="396" w:name="_Toc225614259"/>
      <w:bookmarkEnd w:id="395"/>
      <w:r>
        <w:t>Société luxembourgeoise (Fighthaven)</w:t>
      </w:r>
      <w:bookmarkEnd w:id="396"/>
    </w:p>
    <w:p w14:paraId="0693B89F" w14:textId="77777777" w:rsidR="007946A5" w:rsidRDefault="007946A5" w:rsidP="007946A5">
      <w:pPr>
        <w:jc w:val="both"/>
      </w:pPr>
      <w:r>
        <w:t xml:space="preserve">Société constituée d’actions au porteur. Cinquante pour-cent de ces parts appartenait à Feldwald père. Il s’agit d’un holding ayant le même nom qu’une société panaméenne. Au moment de la succession, la </w:t>
      </w:r>
      <w:r w:rsidR="000D6808">
        <w:t>quasi-totalité</w:t>
      </w:r>
      <w:r>
        <w:t xml:space="preserve"> des parts (99,7 %) de cette société luxembourgeoise est détenue par un trust situé au Guernesey.</w:t>
      </w:r>
    </w:p>
    <w:p w14:paraId="0693B8A0" w14:textId="77777777" w:rsidR="007946A5" w:rsidRDefault="007946A5" w:rsidP="007946A5">
      <w:pPr>
        <w:jc w:val="both"/>
      </w:pPr>
      <w:r>
        <w:t>Comme Fighhaven Lx (Luxembourg) est une holding, les fonds qu’elle recevait étaient automatiquement transférés ailleurs. Information que l’on ne peut donner à des tiers.</w:t>
      </w:r>
    </w:p>
    <w:p w14:paraId="0693B8A1" w14:textId="77777777" w:rsidR="007946A5" w:rsidRDefault="007946A5" w:rsidP="001F7D23">
      <w:pPr>
        <w:pStyle w:val="Titre4"/>
      </w:pPr>
      <w:bookmarkStart w:id="397" w:name="_Société_panaméenne_(Fighthaven)"/>
      <w:bookmarkStart w:id="398" w:name="_Ref133493281"/>
      <w:bookmarkStart w:id="399" w:name="_Toc225614260"/>
      <w:bookmarkEnd w:id="397"/>
      <w:r>
        <w:t>Société panaméenne (Fighthaven)</w:t>
      </w:r>
      <w:bookmarkEnd w:id="398"/>
      <w:bookmarkEnd w:id="399"/>
    </w:p>
    <w:p w14:paraId="0693B8A2" w14:textId="77777777" w:rsidR="007946A5" w:rsidRDefault="007946A5" w:rsidP="007946A5">
      <w:pPr>
        <w:jc w:val="both"/>
      </w:pPr>
      <w:r>
        <w:t xml:space="preserve">Société constituée d’actions au porteur. </w:t>
      </w:r>
      <w:r w:rsidRPr="003D4522">
        <w:rPr>
          <w:b/>
        </w:rPr>
        <w:t>Cinquante pour-cent</w:t>
      </w:r>
      <w:r>
        <w:t xml:space="preserve"> de ces parts appartenaient à Feldwald père. Il s’agit d’un holding ayant le même nom qu’une société luxembourgeoise.</w:t>
      </w:r>
    </w:p>
    <w:p w14:paraId="0693B8A3" w14:textId="77777777" w:rsidR="007946A5" w:rsidRDefault="007946A5" w:rsidP="007946A5">
      <w:pPr>
        <w:spacing w:before="240"/>
        <w:jc w:val="both"/>
      </w:pPr>
      <w:r>
        <w:t>Même au Panama, l’identité des propriétaires réels de la société anonyme sont inconnus. L’objet social des sociétés panaméennes est pratiquement inutile, car tellement large et général, qu’il permet de tout faire. Les administrateurs officiels peuvent être n’importe qui en principe, mais il est « préférable » qu’il s’agisse d’avocats panaméens. Ces derniers, dès leur nomination, remettent des démissions en blanc non datées… qui sont remises au client ou à son représentant (son avocat ou son banquier, par exemple). De même qu’une série de délibérations en blanc, non datées… qui seront traduites et légalisées au Panama, auprès du consulat du pays où elles devront être utilisées…</w:t>
      </w:r>
    </w:p>
    <w:p w14:paraId="0693B8A4" w14:textId="77777777" w:rsidR="007946A5" w:rsidRDefault="007946A5" w:rsidP="007946A5">
      <w:pPr>
        <w:spacing w:before="240"/>
        <w:jc w:val="both"/>
      </w:pPr>
      <w:r>
        <w:t>Les actions (500 minimum selon la loi panaméenne) sont toujours au porteur, sans mention de valeur nominale. Elles sont également détenues par le client ou son représentant.</w:t>
      </w:r>
    </w:p>
    <w:p w14:paraId="0693B8A5" w14:textId="77777777" w:rsidR="007946A5" w:rsidRDefault="007946A5" w:rsidP="001F7D23">
      <w:pPr>
        <w:pStyle w:val="Titre4"/>
      </w:pPr>
      <w:bookmarkStart w:id="400" w:name="_Société_anonyme_European_Entreprise"/>
      <w:bookmarkStart w:id="401" w:name="_Toc225614261"/>
      <w:bookmarkEnd w:id="400"/>
      <w:r>
        <w:lastRenderedPageBreak/>
        <w:t>Société anonyme European Entreprises située au Panama</w:t>
      </w:r>
      <w:bookmarkEnd w:id="401"/>
    </w:p>
    <w:p w14:paraId="0693B8A6" w14:textId="77777777" w:rsidR="007946A5" w:rsidRDefault="007946A5" w:rsidP="007946A5">
      <w:pPr>
        <w:jc w:val="both"/>
      </w:pPr>
      <w:r>
        <w:t xml:space="preserve">Cette société détient tous les avoirs immobiliers du père Feldwald, dont les maisons du père Feldwald à </w:t>
      </w:r>
      <w:hyperlink r:id="rId147" w:history="1">
        <w:r w:rsidRPr="003D4522">
          <w:rPr>
            <w:rStyle w:val="Lienhypertexte"/>
          </w:rPr>
          <w:t>Campione d’Italia</w:t>
        </w:r>
      </w:hyperlink>
      <w:r>
        <w:t xml:space="preserve"> et à Guernesey, plus un appartement à New York. Les administrateurs étaient des avocats de Panama ; à présent (depuis quelques mois) ce sont des avocats suisses. Mais dans tous les cas les administrateurs ne font que suivre les directives du client (c’est-à-dire le propriétaire réel de la société).</w:t>
      </w:r>
    </w:p>
    <w:p w14:paraId="0693B8A7" w14:textId="77777777" w:rsidR="007946A5" w:rsidRDefault="007946A5" w:rsidP="007946A5">
      <w:pPr>
        <w:jc w:val="both"/>
      </w:pPr>
      <w:r>
        <w:t xml:space="preserve">Si le client se fait représenter par un avocat étranger,  un banquier lié par une convention de fiducie ou un </w:t>
      </w:r>
      <w:r w:rsidRPr="00E36458">
        <w:rPr>
          <w:i/>
        </w:rPr>
        <w:t>trustee</w:t>
      </w:r>
      <w:r>
        <w:t>, il est impossible de connaître l’identité du client réel.</w:t>
      </w:r>
    </w:p>
    <w:p w14:paraId="0693B8A8" w14:textId="77777777" w:rsidR="007946A5" w:rsidRDefault="007946A5" w:rsidP="007946A5">
      <w:pPr>
        <w:spacing w:before="240"/>
        <w:jc w:val="both"/>
      </w:pPr>
      <w:r>
        <w:t xml:space="preserve">Feldwald père était apparemment nominativement propriétaire de cette société. Il s’agissait en fait d’un </w:t>
      </w:r>
      <w:r w:rsidRPr="000D6808">
        <w:t>société caïmanaise au même nom que Feldwald</w:t>
      </w:r>
      <w:r>
        <w:t xml:space="preserve"> (pour rappel, aux Îles Caïmans, la forme juridique ne doit pas être apposée sur le nom de la société…).</w:t>
      </w:r>
    </w:p>
    <w:p w14:paraId="0693B8A9" w14:textId="77777777" w:rsidR="007946A5" w:rsidRDefault="007946A5" w:rsidP="007946A5">
      <w:pPr>
        <w:jc w:val="both"/>
      </w:pPr>
      <w:r>
        <w:t>Or les actions (au porteur) de cette société étaient détenues par « l’associé » de Feldwald : Broglio…</w:t>
      </w:r>
    </w:p>
    <w:p w14:paraId="0693B8AA" w14:textId="77777777" w:rsidR="007946A5" w:rsidRDefault="00105A84" w:rsidP="007946A5">
      <w:pPr>
        <w:spacing w:before="240"/>
        <w:jc w:val="both"/>
      </w:pPr>
      <w:hyperlink r:id="rId148" w:history="1">
        <w:r w:rsidR="007946A5" w:rsidRPr="0023704A">
          <w:rPr>
            <w:rStyle w:val="Lienhypertexte"/>
          </w:rPr>
          <w:t>Complément</w:t>
        </w:r>
        <w:r w:rsidR="007946A5" w:rsidRPr="000D6808">
          <w:rPr>
            <w:rStyle w:val="Lienhypertexte"/>
          </w:rPr>
          <w:t>s</w:t>
        </w:r>
        <w:r w:rsidR="007946A5" w:rsidRPr="000D6808">
          <w:rPr>
            <w:rStyle w:val="Lienhypertexte"/>
            <w:u w:val="none"/>
          </w:rPr>
          <w:t xml:space="preserve"> </w:t>
        </w:r>
      </w:hyperlink>
      <w:r w:rsidR="007946A5">
        <w:t>d’information sur Panama.</w:t>
      </w:r>
    </w:p>
    <w:p w14:paraId="0693B8AB" w14:textId="77777777" w:rsidR="007946A5" w:rsidRDefault="007946A5" w:rsidP="001F7D23">
      <w:pPr>
        <w:pStyle w:val="Titre4"/>
      </w:pPr>
      <w:bookmarkStart w:id="402" w:name="_Société_anonyme_située_aux_Îles_Caï"/>
      <w:bookmarkStart w:id="403" w:name="_Toc225614262"/>
      <w:bookmarkEnd w:id="402"/>
      <w:r>
        <w:t xml:space="preserve">Société </w:t>
      </w:r>
      <w:r w:rsidRPr="007946A5">
        <w:t>anonyme</w:t>
      </w:r>
      <w:r>
        <w:t xml:space="preserve"> située aux Îles Caïmans</w:t>
      </w:r>
      <w:bookmarkEnd w:id="403"/>
    </w:p>
    <w:p w14:paraId="0693B8AC" w14:textId="77777777" w:rsidR="007946A5" w:rsidRDefault="007946A5" w:rsidP="007946A5">
      <w:pPr>
        <w:jc w:val="both"/>
      </w:pPr>
      <w:r>
        <w:t xml:space="preserve">Les Îles Caïmans possèdent les avantages semblables, des points de vue fiscal et bancaire, qu’aux iles Bahamas, qu’à Panama ou à Guernesey, par exemple, mais, en plus, ont la </w:t>
      </w:r>
      <w:r w:rsidRPr="006A0D2C">
        <w:rPr>
          <w:b/>
          <w:i/>
        </w:rPr>
        <w:t>caractéristique de ne pas imposer aux sociétés la mention d’une forme juridique</w:t>
      </w:r>
      <w:r>
        <w:t xml:space="preserve"> (sa, sprl, snc, scs, sca, sc, par exemple, pour la Belgique).</w:t>
      </w:r>
    </w:p>
    <w:p w14:paraId="0693B8AD" w14:textId="77777777" w:rsidR="007946A5" w:rsidRDefault="007946A5" w:rsidP="007946A5">
      <w:pPr>
        <w:spacing w:before="240"/>
        <w:jc w:val="both"/>
      </w:pPr>
      <w:r>
        <w:t>Cette caractéristique a des conséquences importantes. Il est par exemple tout à fait possible que des documents (comme des factures…) soient libellés à votre nom (personne physique), mais avec une adresse située aux Îles Caïmans. En réalité il s’agit d’une société située aux Îles Caïmans, qui a l’extraordinaire coïncidence de posséder le même nom que vous… Mais cette société n’a évidemment absolument rien à voir avec vous…</w:t>
      </w:r>
    </w:p>
    <w:p w14:paraId="0693B8AE" w14:textId="77777777" w:rsidR="007946A5" w:rsidRDefault="007946A5" w:rsidP="007946A5">
      <w:pPr>
        <w:spacing w:before="240"/>
        <w:jc w:val="both"/>
      </w:pPr>
      <w:r>
        <w:t>C’est en appliquant ce principe que quelqu’un pourrait vous faire croire que vous êtes actionnaire d’une société (située aux Bahamas ou au Panama, par exemple) alors qu’il s’agit simplement d’un document attestant qu’une société des Îles Caïmans, qui, par coïncidence, possède le même nom que vous, possède réellement une telle société aux Bahamas ou à Panama…</w:t>
      </w:r>
    </w:p>
    <w:p w14:paraId="0693B8AF" w14:textId="77777777" w:rsidR="007946A5" w:rsidRDefault="007946A5" w:rsidP="007946A5">
      <w:pPr>
        <w:jc w:val="both"/>
      </w:pPr>
      <w:r>
        <w:t>Le procédé – pour une personne non avertie – est d’autant plus ingénieux que la personne malfaisante qui vous présenterait un tel document justifierait votre soi-disant domiciliation aux Îles Caïmans par le fait ces îles sont des paradis fiscaux…</w:t>
      </w:r>
    </w:p>
    <w:p w14:paraId="0693B8B0" w14:textId="77777777" w:rsidR="007946A5" w:rsidRDefault="007946A5" w:rsidP="007946A5">
      <w:pPr>
        <w:spacing w:before="240"/>
        <w:jc w:val="both"/>
      </w:pPr>
      <w:r>
        <w:t xml:space="preserve">Un autre avantage, qui résulte de cette caractéristique sur l’absence possible de forme juridique pour les sociétés des Îles Caïmans, est que cette technique permet d’éviter d’avoir des actions au porteur, comme dans le cas de montages aux Îles Bahamas, à Panama ou autres </w:t>
      </w:r>
      <w:hyperlink r:id="rId149" w:history="1">
        <w:r w:rsidRPr="003D4522">
          <w:rPr>
            <w:rStyle w:val="Lienhypertexte"/>
            <w:b/>
          </w:rPr>
          <w:t>paradis fiscaux</w:t>
        </w:r>
      </w:hyperlink>
      <w:r>
        <w:t xml:space="preserve"> (voir également la </w:t>
      </w:r>
      <w:hyperlink r:id="rId150" w:history="1">
        <w:r w:rsidRPr="00A25475">
          <w:rPr>
            <w:rStyle w:val="Lienhypertexte"/>
          </w:rPr>
          <w:t>liste</w:t>
        </w:r>
      </w:hyperlink>
      <w:r>
        <w:t xml:space="preserve">) ET </w:t>
      </w:r>
      <w:hyperlink r:id="rId151" w:history="1">
        <w:r w:rsidRPr="003D4522">
          <w:rPr>
            <w:rStyle w:val="Lienhypertexte"/>
            <w:b/>
          </w:rPr>
          <w:t>bancaires</w:t>
        </w:r>
      </w:hyperlink>
      <w:r w:rsidR="000D6808">
        <w:rPr>
          <w:rStyle w:val="Lienhypertexte"/>
          <w:b/>
        </w:rPr>
        <w:t>, dits aussi paradis financier</w:t>
      </w:r>
      <w:r w:rsidR="000B1121">
        <w:rPr>
          <w:rStyle w:val="Lienhypertexte"/>
          <w:b/>
        </w:rPr>
        <w:t xml:space="preserve"> (avec sa liste)</w:t>
      </w:r>
      <w:r>
        <w:t>.</w:t>
      </w:r>
    </w:p>
    <w:p w14:paraId="0693B8B1" w14:textId="77777777" w:rsidR="007946A5" w:rsidRDefault="007946A5" w:rsidP="007946A5">
      <w:pPr>
        <w:jc w:val="both"/>
      </w:pPr>
      <w:r>
        <w:t>En effet, il suffit que les parts nominatives soient détenues par la société des Îles Caïmans, laquelle société est détenue, sous forme de parts au porteur, par quelqu’un d’autre (soit le vrai propriétaire, soit en passant par intermédiaire supplémentaire, une société panaméenne, par exemple, pour brouiller complètement les pistes…)</w:t>
      </w:r>
    </w:p>
    <w:p w14:paraId="0693B8B2" w14:textId="77777777" w:rsidR="007946A5" w:rsidRDefault="007946A5" w:rsidP="007946A5">
      <w:pPr>
        <w:spacing w:before="240"/>
        <w:jc w:val="both"/>
      </w:pPr>
      <w:r>
        <w:t xml:space="preserve">Une telle société caïmanaise a donc été créée, à l’insu de Feldwald père, pour lui faire croire qu’il détenait  50 % des parts de </w:t>
      </w:r>
      <w:hyperlink w:anchor="_Société_anonyme_European_Entreprise" w:history="1">
        <w:r w:rsidRPr="00CE7F5E">
          <w:rPr>
            <w:rStyle w:val="Lienhypertexte"/>
          </w:rPr>
          <w:t>European Entreprise Panama</w:t>
        </w:r>
      </w:hyperlink>
      <w:r>
        <w:t>.</w:t>
      </w:r>
    </w:p>
    <w:p w14:paraId="0693B8B3" w14:textId="77777777" w:rsidR="007946A5" w:rsidRDefault="00105A84" w:rsidP="007946A5">
      <w:pPr>
        <w:spacing w:before="240"/>
        <w:jc w:val="both"/>
      </w:pPr>
      <w:hyperlink r:id="rId152" w:history="1">
        <w:r w:rsidR="007946A5" w:rsidRPr="00032482">
          <w:rPr>
            <w:rStyle w:val="Lienhypertexte"/>
          </w:rPr>
          <w:t>Compléments</w:t>
        </w:r>
      </w:hyperlink>
      <w:r w:rsidR="007946A5">
        <w:t xml:space="preserve"> d’information sur les Îles Caïmans.</w:t>
      </w:r>
    </w:p>
    <w:p w14:paraId="0693B8B4" w14:textId="77777777" w:rsidR="007946A5" w:rsidRDefault="007946A5" w:rsidP="007946A5">
      <w:pPr>
        <w:spacing w:before="240"/>
        <w:jc w:val="both"/>
      </w:pPr>
      <w:r>
        <w:t xml:space="preserve">Liste des </w:t>
      </w:r>
      <w:hyperlink r:id="rId153" w:history="1">
        <w:r w:rsidRPr="000B1121">
          <w:rPr>
            <w:rStyle w:val="Lienhypertexte"/>
            <w:b/>
          </w:rPr>
          <w:t>paradis bancaires et fiscaux</w:t>
        </w:r>
      </w:hyperlink>
      <w:r w:rsidR="0017641A">
        <w:t>.</w:t>
      </w:r>
    </w:p>
    <w:p w14:paraId="0693B8B5" w14:textId="77777777" w:rsidR="007946A5" w:rsidRDefault="007946A5" w:rsidP="001F7D23">
      <w:pPr>
        <w:pStyle w:val="Titre4"/>
      </w:pPr>
      <w:bookmarkStart w:id="404" w:name="_Toc225614263"/>
      <w:r>
        <w:lastRenderedPageBreak/>
        <w:t>Trust</w:t>
      </w:r>
      <w:bookmarkEnd w:id="404"/>
      <w:r>
        <w:t xml:space="preserve"> </w:t>
      </w:r>
    </w:p>
    <w:p w14:paraId="0693B8B6" w14:textId="77777777" w:rsidR="007946A5" w:rsidRDefault="007946A5" w:rsidP="007946A5">
      <w:pPr>
        <w:pStyle w:val="Titre5"/>
      </w:pPr>
      <w:bookmarkStart w:id="405" w:name="_Toc225614264"/>
      <w:r>
        <w:t>À Guernesey</w:t>
      </w:r>
      <w:bookmarkEnd w:id="405"/>
    </w:p>
    <w:p w14:paraId="0693B8B7" w14:textId="77777777" w:rsidR="007946A5" w:rsidRDefault="007946A5" w:rsidP="007946A5">
      <w:pPr>
        <w:jc w:val="both"/>
      </w:pPr>
      <w:r>
        <w:t xml:space="preserve">Le trust est administré par un </w:t>
      </w:r>
      <w:r w:rsidRPr="00960C6D">
        <w:rPr>
          <w:i/>
        </w:rPr>
        <w:t>trustee</w:t>
      </w:r>
      <w:r>
        <w:t xml:space="preserve">, qui peut être un </w:t>
      </w:r>
      <w:r w:rsidRPr="00960C6D">
        <w:rPr>
          <w:i/>
        </w:rPr>
        <w:t>solicitor</w:t>
      </w:r>
      <w:r>
        <w:t xml:space="preserve"> (c’est-à-dire un avocat). Un trust s’apparente à ce que les Français appellent une fiducie, ou sorte de convention de prête-nom.</w:t>
      </w:r>
    </w:p>
    <w:p w14:paraId="0693B8B8" w14:textId="77777777" w:rsidR="007946A5" w:rsidRDefault="007946A5" w:rsidP="007946A5">
      <w:pPr>
        <w:jc w:val="both"/>
      </w:pPr>
      <w:r>
        <w:t>Un trust est constitué de minimum trois personnes :</w:t>
      </w:r>
    </w:p>
    <w:p w14:paraId="0693B8B9" w14:textId="77777777" w:rsidR="007946A5" w:rsidRDefault="007946A5" w:rsidP="0086187F">
      <w:pPr>
        <w:numPr>
          <w:ilvl w:val="0"/>
          <w:numId w:val="53"/>
        </w:numPr>
        <w:jc w:val="both"/>
      </w:pPr>
      <w:r>
        <w:t xml:space="preserve">Le créateur du trust, qui en est le véritable propriétaire, appelé </w:t>
      </w:r>
      <w:r w:rsidRPr="00812E4A">
        <w:rPr>
          <w:i/>
        </w:rPr>
        <w:t>settlor</w:t>
      </w:r>
      <w:r w:rsidRPr="00812E4A">
        <w:t xml:space="preserve"> ou </w:t>
      </w:r>
      <w:r w:rsidRPr="00812E4A">
        <w:rPr>
          <w:i/>
        </w:rPr>
        <w:t>grantor</w:t>
      </w:r>
      <w:r>
        <w:t>.</w:t>
      </w:r>
    </w:p>
    <w:p w14:paraId="0693B8BA" w14:textId="77777777" w:rsidR="007946A5" w:rsidRDefault="007946A5" w:rsidP="0086187F">
      <w:pPr>
        <w:numPr>
          <w:ilvl w:val="0"/>
          <w:numId w:val="53"/>
        </w:numPr>
        <w:jc w:val="both"/>
      </w:pPr>
      <w:r>
        <w:t>Le trustee, qui apparaît vis-à-vis des tiers comme étant le propriétaire du trust, mais qui agit essentiellement dans le cadre d’une convention (comportant, éventuellement et notamment, des ordres en blanc) le liant au véritable propriétaire.</w:t>
      </w:r>
    </w:p>
    <w:p w14:paraId="0693B8BB" w14:textId="77777777" w:rsidR="007946A5" w:rsidRDefault="007946A5" w:rsidP="0086187F">
      <w:pPr>
        <w:numPr>
          <w:ilvl w:val="0"/>
          <w:numId w:val="53"/>
        </w:numPr>
        <w:jc w:val="both"/>
      </w:pPr>
      <w:r>
        <w:t xml:space="preserve">Le(s) bénéficiaire(s), appelé </w:t>
      </w:r>
      <w:r w:rsidRPr="002A49BE">
        <w:rPr>
          <w:i/>
        </w:rPr>
        <w:t>beneficial owner</w:t>
      </w:r>
      <w:r>
        <w:t>, à qui reviendront les possessions du trust à la fin de la convention entre le trustee et le propriétaire réel.</w:t>
      </w:r>
    </w:p>
    <w:p w14:paraId="0693B8BC" w14:textId="77777777" w:rsidR="007946A5" w:rsidRDefault="007946A5" w:rsidP="007946A5">
      <w:pPr>
        <w:spacing w:before="240"/>
        <w:jc w:val="both"/>
      </w:pPr>
      <w:r>
        <w:t xml:space="preserve">Exemple de société qui organise (notamment) des trusts : </w:t>
      </w:r>
      <w:hyperlink r:id="rId154" w:history="1">
        <w:r>
          <w:rPr>
            <w:rStyle w:val="Lienhypertexte"/>
          </w:rPr>
          <w:t>http://www.amedia-offshore.com</w:t>
        </w:r>
      </w:hyperlink>
    </w:p>
    <w:p w14:paraId="0693B8BD" w14:textId="77777777" w:rsidR="007946A5" w:rsidRDefault="00105A84" w:rsidP="007946A5">
      <w:pPr>
        <w:spacing w:before="240"/>
        <w:jc w:val="both"/>
      </w:pPr>
      <w:hyperlink r:id="rId155" w:history="1">
        <w:r w:rsidR="007946A5" w:rsidRPr="00032482">
          <w:rPr>
            <w:rStyle w:val="Lienhypertexte"/>
          </w:rPr>
          <w:t xml:space="preserve">Compléments </w:t>
        </w:r>
      </w:hyperlink>
      <w:r w:rsidR="007946A5">
        <w:t>d’information sur Guernesey…</w:t>
      </w:r>
    </w:p>
    <w:p w14:paraId="0693B8BE" w14:textId="77777777" w:rsidR="007946A5" w:rsidRDefault="007946A5" w:rsidP="007946A5">
      <w:pPr>
        <w:pStyle w:val="Titre5"/>
      </w:pPr>
      <w:bookmarkStart w:id="406" w:name="_Toc225614265"/>
      <w:r>
        <w:t xml:space="preserve">La notion juridique de trust </w:t>
      </w:r>
      <w:r w:rsidRPr="001A0A4F">
        <w:t>(</w:t>
      </w:r>
      <w:r w:rsidRPr="007946A5">
        <w:t>Encyclopédie</w:t>
      </w:r>
      <w:r w:rsidRPr="001A0A4F">
        <w:t xml:space="preserve"> Universalis)</w:t>
      </w:r>
      <w:bookmarkEnd w:id="406"/>
    </w:p>
    <w:p w14:paraId="0693B8BF" w14:textId="77777777" w:rsidR="007946A5" w:rsidRPr="00017714" w:rsidRDefault="007946A5" w:rsidP="000B1121">
      <w:pPr>
        <w:jc w:val="both"/>
      </w:pPr>
      <w:r w:rsidRPr="001A0A4F">
        <w:t xml:space="preserve">Le trust est un instrument juridique particulier au droit anglais, encore que l’on puisse le rapprocher, mais non l’identifier, au </w:t>
      </w:r>
      <w:r w:rsidRPr="00E7262C">
        <w:rPr>
          <w:b/>
          <w:i/>
        </w:rPr>
        <w:t>fideicommis</w:t>
      </w:r>
      <w:r>
        <w:t> </w:t>
      </w:r>
      <w:r w:rsidRPr="001A0A4F">
        <w:t xml:space="preserve"> romain. Étymologiquement, trust</w:t>
      </w:r>
      <w:r>
        <w:t> </w:t>
      </w:r>
      <w:r w:rsidRPr="001A0A4F">
        <w:t xml:space="preserve"> signifie «confiance». En la matière, il s’agit de la confiance accordée à un individu ou à une société, le trustee</w:t>
      </w:r>
      <w:r>
        <w:t>,</w:t>
      </w:r>
      <w:r w:rsidRPr="001A0A4F">
        <w:t xml:space="preserve"> pour la gestion d’intérêts. Le trustee</w:t>
      </w:r>
      <w:r>
        <w:t> </w:t>
      </w:r>
      <w:r w:rsidRPr="001A0A4F">
        <w:t xml:space="preserve"> doit protéger de bonne foi l’intérêt (la res) confié par les ayants droit; il n’est pas un simple mandataire, car sa mission n’est pas révocable par les ayants droit sans l’accord d’un tribunal, et pour cause légitime; au contraire, il peut agir sans instructions des ayants droit pour gérer et protéger la res</w:t>
      </w:r>
      <w:r>
        <w:t> </w:t>
      </w:r>
      <w:r w:rsidRPr="001A0A4F">
        <w:t xml:space="preserve"> du trust (R.</w:t>
      </w:r>
      <w:r>
        <w:t> </w:t>
      </w:r>
      <w:r w:rsidRPr="001A0A4F">
        <w:t>T. Tait, 1971). Ainsi le trustee</w:t>
      </w:r>
      <w:r>
        <w:t> </w:t>
      </w:r>
      <w:r w:rsidRPr="001A0A4F">
        <w:t xml:space="preserve"> a-t-il un droit légal. En Angleterre, puis aux États-Unis, cet instrument a reçu un usage très étendu en ce qui concerne l’administration des biens étrangers, comme en matière de tutelle, de communauté, de masse de faillite. Son application à la concentration de l’industrie date de 1881: cette année-là, un avocat, Dodd, eut l’idée de recourir à un trust pour créer une administration unitaire de l’industrie du pétrole, tout en maintenant les entreprises apparemment indépendantes; ce fut le Standard Oil Trust. Les actions des entreprises adhérentes furent confiées à un comité, le Board of Trustees, à la tête duquel se trouvait J.</w:t>
      </w:r>
      <w:r>
        <w:t> </w:t>
      </w:r>
      <w:r w:rsidRPr="001A0A4F">
        <w:t>D. Rockefeller, et qui délivrait pour ces actions des certificats de trust (R.</w:t>
      </w:r>
      <w:r>
        <w:t> </w:t>
      </w:r>
      <w:r w:rsidRPr="001A0A4F">
        <w:t>Liefmann, 1914). Très rapidement, toutefois, cette technique fut abandonnée au profit de la fusion pure et simple ou d</w:t>
      </w:r>
      <w:r w:rsidR="000B1121">
        <w:t>u holding [cf. HOLDING].</w:t>
      </w:r>
    </w:p>
    <w:p w14:paraId="0693B8C0" w14:textId="77777777" w:rsidR="0017641A" w:rsidRDefault="0017641A" w:rsidP="00105A84">
      <w:pPr>
        <w:pStyle w:val="Titre2"/>
      </w:pPr>
      <w:bookmarkStart w:id="407" w:name="Principes_de_la_r_cup_ration_d"/>
      <w:bookmarkStart w:id="408" w:name="_Toc482815689"/>
      <w:bookmarkEnd w:id="407"/>
      <w:r>
        <w:t xml:space="preserve">Application pratique 2 : </w:t>
      </w:r>
      <w:r w:rsidRPr="007946A5">
        <w:t xml:space="preserve">comment </w:t>
      </w:r>
      <w:r>
        <w:t>récupérer</w:t>
      </w:r>
      <w:r w:rsidRPr="007946A5">
        <w:t xml:space="preserve"> 10 000 000 USD</w:t>
      </w:r>
      <w:r>
        <w:t> ?</w:t>
      </w:r>
      <w:bookmarkEnd w:id="408"/>
    </w:p>
    <w:p w14:paraId="0693B8C1" w14:textId="77777777" w:rsidR="00D257B8" w:rsidRDefault="00D257B8" w:rsidP="00D257B8">
      <w:pPr>
        <w:pStyle w:val="Titre3"/>
      </w:pPr>
      <w:bookmarkStart w:id="409" w:name="_Toc225614267"/>
      <w:bookmarkStart w:id="410" w:name="_Toc482815690"/>
      <w:r>
        <w:t>Étape 1 – Al Mensour</w:t>
      </w:r>
      <w:bookmarkEnd w:id="409"/>
      <w:bookmarkEnd w:id="410"/>
    </w:p>
    <w:p w14:paraId="0693B8C2" w14:textId="77777777" w:rsidR="00D257B8" w:rsidRDefault="00D257B8" w:rsidP="00D257B8">
      <w:pPr>
        <w:jc w:val="both"/>
      </w:pPr>
      <w:r>
        <w:t>Feldwald fils demande à l’homme d’affaire Al Mensour de pouvoir prouver que lui, Feldwald, possède un compte bancaire où il est stipulé qu’il dispose de 20 millions de USD. Cette assurance de dépôt ne devrait fonctionner que 24 heures.</w:t>
      </w:r>
    </w:p>
    <w:p w14:paraId="0693B8C3" w14:textId="77777777" w:rsidR="00D257B8" w:rsidRDefault="00D257B8" w:rsidP="00D257B8">
      <w:pPr>
        <w:spacing w:before="240"/>
        <w:jc w:val="both"/>
      </w:pPr>
      <w:r>
        <w:t>Pour garantir à Al Mansour qu’il ne partira pas avec l’argent, il sera fait usage d’un comte « tiers-ouvert ». C’est un compte normal, au nom de Feldwald, mais qui fonctionne de la manière suivante : pour les dépôts sur ce compte (fonctionnement en crédit), la simple signature de Feldwald suffira ; par contre, pour les retraits de ce compte (fonctionnement en débit), il faudra disposer de deux signatures, celle de Feldwald et celle d’Al Mensour.</w:t>
      </w:r>
    </w:p>
    <w:p w14:paraId="0693B8C4" w14:textId="77777777" w:rsidR="00D257B8" w:rsidRDefault="00D257B8" w:rsidP="00D257B8">
      <w:pPr>
        <w:pStyle w:val="Titre3"/>
      </w:pPr>
      <w:bookmarkStart w:id="411" w:name="_Toc225614268"/>
      <w:bookmarkStart w:id="412" w:name="_Toc482815691"/>
      <w:r>
        <w:lastRenderedPageBreak/>
        <w:t>Étape 2 - Ouverture d’un compte à pseudonyme en Suisse</w:t>
      </w:r>
      <w:bookmarkEnd w:id="411"/>
      <w:bookmarkEnd w:id="412"/>
    </w:p>
    <w:p w14:paraId="0693B8C5" w14:textId="77777777" w:rsidR="00D257B8" w:rsidRDefault="00D257B8" w:rsidP="00D257B8">
      <w:pPr>
        <w:spacing w:before="240"/>
        <w:jc w:val="both"/>
      </w:pPr>
      <w:r>
        <w:t>Al Mensour garantira, via un compte bancaire suisse à lui, un crédit sur le compte suisse de Feldwald pour 24 heures, pour un montant de 20 millions de USD (à condition de recevoir 50 % de toutes les affaires effectuées dans le futur par Feldwald fils…) Le compte de Feldwald ne sera donc pas crédité des 20 millions de USD, mais seulement garanti d’une ligne de crédit de 20 millions de USD, dans laquelle il pourrait théoriquement puiser, moyennant double signature.</w:t>
      </w:r>
    </w:p>
    <w:p w14:paraId="0693B8C6" w14:textId="77777777" w:rsidR="00D257B8" w:rsidRDefault="00D257B8" w:rsidP="00D257B8">
      <w:pPr>
        <w:spacing w:before="240"/>
        <w:jc w:val="both"/>
      </w:pPr>
      <w:r>
        <w:t>Comme la restriction de signature (principe du tiers-ouvert) n’apparaît pas sur les extraits de compte. L’extrait de compte de Feldwald mentionnera qu’à une date donnée, il dispose de 20 millions d’USD…</w:t>
      </w:r>
    </w:p>
    <w:p w14:paraId="0693B8C7" w14:textId="77777777" w:rsidR="00D257B8" w:rsidRDefault="00D257B8" w:rsidP="00D257B8">
      <w:pPr>
        <w:spacing w:before="240"/>
        <w:jc w:val="both"/>
      </w:pPr>
      <w:r>
        <w:t xml:space="preserve">Le compte sera cependant numéroté, étant donné que Feldwald devra l’utiliser hors de Suisse. </w:t>
      </w:r>
    </w:p>
    <w:p w14:paraId="0693B8C8" w14:textId="77777777" w:rsidR="00D257B8" w:rsidRDefault="00D257B8" w:rsidP="00D257B8">
      <w:pPr>
        <w:spacing w:before="240"/>
        <w:jc w:val="both"/>
      </w:pPr>
      <w:r>
        <w:t>Pour ne pas avoir d’éventuels ennuis à la douane, ce compte numéroté fonctionnera avec un pseudonyme, pour paraître normal aux yeux des douaniers. Le pseudonyme que Feldwald choisit est… Broglio…</w:t>
      </w:r>
    </w:p>
    <w:p w14:paraId="0693B8C9" w14:textId="77777777" w:rsidR="00D257B8" w:rsidRDefault="00D257B8" w:rsidP="00D257B8">
      <w:pPr>
        <w:spacing w:before="240"/>
        <w:jc w:val="both"/>
      </w:pPr>
      <w:r>
        <w:t>Cerise sur le gâteau : pour que le compte paraisse tout à fait normal, il faut aussi une adresse bidon. Feldwald choisit – tout à fait par hasard, bien sûr – celle d’un résident français au nom de Broglio…</w:t>
      </w:r>
    </w:p>
    <w:p w14:paraId="0693B8CA" w14:textId="77777777" w:rsidR="00D257B8" w:rsidRDefault="00D257B8" w:rsidP="00D257B8">
      <w:pPr>
        <w:pStyle w:val="Titre3"/>
      </w:pPr>
      <w:bookmarkStart w:id="413" w:name="_Toc225614269"/>
      <w:bookmarkStart w:id="414" w:name="_Toc482815692"/>
      <w:r>
        <w:t>Étape 3 – Laisser traîner…</w:t>
      </w:r>
      <w:bookmarkEnd w:id="413"/>
      <w:bookmarkEnd w:id="414"/>
    </w:p>
    <w:p w14:paraId="0693B8CB" w14:textId="77777777" w:rsidR="00D257B8" w:rsidRDefault="00D257B8" w:rsidP="00D257B8">
      <w:pPr>
        <w:jc w:val="both"/>
      </w:pPr>
      <w:r>
        <w:t>… l’extrait de compte au (faux) nom de Broglio à la frontière suisse, de manière à ce que les douaniers français (Broglio est domicilié en France) tombent malencontreusement dessus.</w:t>
      </w:r>
    </w:p>
    <w:p w14:paraId="0693B8CC" w14:textId="77777777" w:rsidR="00D257B8" w:rsidRDefault="00D257B8" w:rsidP="00D257B8">
      <w:pPr>
        <w:jc w:val="both"/>
      </w:pPr>
      <w:r>
        <w:t>Après ce fâcheux incident, Broglio est (faussement) accusé de disposer de 20 millions d’USD sur un compte en Suisse…</w:t>
      </w:r>
    </w:p>
    <w:p w14:paraId="0693B8CD" w14:textId="77777777" w:rsidR="00D257B8" w:rsidRDefault="00D257B8" w:rsidP="00D257B8">
      <w:pPr>
        <w:pStyle w:val="Titre3"/>
      </w:pPr>
      <w:bookmarkStart w:id="415" w:name="_Toc225614270"/>
      <w:bookmarkStart w:id="416" w:name="_Toc482815693"/>
      <w:r>
        <w:t>Étape 4 – Broglio doit prouver…</w:t>
      </w:r>
      <w:bookmarkEnd w:id="415"/>
      <w:bookmarkEnd w:id="416"/>
    </w:p>
    <w:p w14:paraId="0693B8CE" w14:textId="77777777" w:rsidR="00D257B8" w:rsidRDefault="00D257B8" w:rsidP="00D257B8">
      <w:pPr>
        <w:spacing w:before="240"/>
        <w:jc w:val="both"/>
      </w:pPr>
      <w:r>
        <w:t>… aux douanes (et au fisc) françaises qu’il s’agit d’une regrettable erreur, d’une coïncidence déplorable. Il sera donc autorisé à se rendre en Suisse (et uniquement en Suisse, son passeport ayant été confisqué) pour se rendre dans la banque où l’extrait de compte a été émis, pour revenir avec les preuves que le Broglio mentionné sur l’extrait de compte n’est pas lui-même !</w:t>
      </w:r>
    </w:p>
    <w:p w14:paraId="0693B8CF" w14:textId="77777777" w:rsidR="00D257B8" w:rsidRDefault="00D257B8" w:rsidP="00D257B8">
      <w:pPr>
        <w:spacing w:before="240"/>
        <w:jc w:val="both"/>
      </w:pPr>
      <w:r>
        <w:t>Bien évidemment, aucun banquier situé dans un paradis bancaire comme la Suisse, ne divulguera jamais le nom du titulaire réel du compte à pseudonyme Broglio, ni même, bien sûr, qu’il s’agit d’un compte à pseudonyme (sinon il n’y aurait plus de secret).</w:t>
      </w:r>
    </w:p>
    <w:p w14:paraId="0693B8D0" w14:textId="77777777" w:rsidR="00D257B8" w:rsidRDefault="00D257B8" w:rsidP="00D257B8">
      <w:pPr>
        <w:spacing w:before="240"/>
        <w:jc w:val="both"/>
      </w:pPr>
      <w:r>
        <w:t>Exceptionnellement, vu la gravité des faits (malgré que Broglio ne soit pas client de la banque de Feldwald), la banque suisse, via les gestionnaires de compte (qui, pour des raisons d’efficacité – principe du cloisonnement - ne connaissent pas les clients de leurs collègues), propose de mettre Broglio en relation avec Feldwald, si Feldwald accepte…</w:t>
      </w:r>
    </w:p>
    <w:p w14:paraId="0693B8D1" w14:textId="77777777" w:rsidR="00D257B8" w:rsidRDefault="00D257B8" w:rsidP="00D257B8">
      <w:pPr>
        <w:pStyle w:val="Titre3"/>
      </w:pPr>
      <w:bookmarkStart w:id="417" w:name="_Toc225614271"/>
      <w:bookmarkStart w:id="418" w:name="_Toc482815694"/>
      <w:r>
        <w:t>Étape 5 – Négociation entre Broglio et Feldwald</w:t>
      </w:r>
      <w:bookmarkEnd w:id="417"/>
      <w:bookmarkEnd w:id="418"/>
    </w:p>
    <w:p w14:paraId="0693B8D2" w14:textId="77777777" w:rsidR="00D257B8" w:rsidRDefault="00D257B8" w:rsidP="00D257B8">
      <w:pPr>
        <w:spacing w:before="240"/>
        <w:jc w:val="both"/>
      </w:pPr>
      <w:r>
        <w:t>Les négociations ne peuvent avoir lieu que via les gestionnaires de la banque, et essentiellement par téléphone ou e-mail, en changeant le plus souvent et le plus rapidement possible de pays…</w:t>
      </w:r>
    </w:p>
    <w:p w14:paraId="0693B8D3" w14:textId="77777777" w:rsidR="00D257B8" w:rsidRDefault="00D257B8" w:rsidP="00D257B8">
      <w:pPr>
        <w:spacing w:before="240"/>
        <w:jc w:val="both"/>
      </w:pPr>
      <w:r>
        <w:lastRenderedPageBreak/>
        <w:t>La négociation porte sur le manque à gagner qui résulterait du lever du secret du compte de Feldwald. Ce manque à gagner est estimé à 14 millions d’USD. C’est le différentiel d’impôt qui résulterait de la levée du secret bancaire, suite aux soi-disant opérations financières de Feldwald. Il s’agit en fait de 35 % (taux d’imposition) appliqués à 40 millions d’USD de bénéfices.</w:t>
      </w:r>
    </w:p>
    <w:p w14:paraId="0693B8D4" w14:textId="77777777" w:rsidR="00D257B8" w:rsidRDefault="00D257B8" w:rsidP="00D257B8">
      <w:pPr>
        <w:spacing w:before="240"/>
        <w:jc w:val="both"/>
      </w:pPr>
      <w:r>
        <w:t>Après une dizaine de conversations téléphoniques réparties sur une à deux semaines, Broglio est contraint d’accepter la transaction de 14 millions de USD contre une lettre levant le secret bancaire du compte à pseudonyme Broglio.</w:t>
      </w:r>
    </w:p>
    <w:p w14:paraId="0693B8D5" w14:textId="77777777" w:rsidR="00D257B8" w:rsidRDefault="00D257B8" w:rsidP="00D257B8">
      <w:pPr>
        <w:spacing w:before="240"/>
        <w:jc w:val="both"/>
      </w:pPr>
      <w:r>
        <w:t>Cette somme (diminuée de frais divers : il ne restera plus, finalement, que 10 millions de USD…) sera apportée à Feldwald par son banquier suisse, sous forme d’un chèque au porteur, garanti par l’</w:t>
      </w:r>
      <w:hyperlink r:id="rId156" w:history="1">
        <w:r>
          <w:rPr>
            <w:rStyle w:val="Lienhypertexte"/>
          </w:rPr>
          <w:t>Union des b</w:t>
        </w:r>
        <w:r w:rsidRPr="001622C0">
          <w:rPr>
            <w:rStyle w:val="Lienhypertexte"/>
          </w:rPr>
          <w:t>anques suisses</w:t>
        </w:r>
      </w:hyperlink>
      <w:r>
        <w:t xml:space="preserve">, à un endroit convenu : dans la </w:t>
      </w:r>
      <w:hyperlink r:id="rId157" w:history="1">
        <w:r w:rsidRPr="00E835F0">
          <w:rPr>
            <w:rStyle w:val="Lienhypertexte"/>
          </w:rPr>
          <w:t>Kleinwalsertal</w:t>
        </w:r>
      </w:hyperlink>
      <w:r>
        <w:t>, située à 160 km de Munich, il s’agit d’une enclave autrichienne en plein territoire allemand.</w:t>
      </w:r>
    </w:p>
    <w:p w14:paraId="0693B8D6" w14:textId="77777777" w:rsidR="00D257B8" w:rsidRDefault="00D257B8" w:rsidP="00D257B8">
      <w:pPr>
        <w:spacing w:before="240"/>
        <w:jc w:val="both"/>
      </w:pPr>
      <w:r>
        <w:t xml:space="preserve">La caractéristique – à l’époque – de la juridiction bancaire autrichienne d’application dans la Kleinwalsertal, consistait à offrir un produit bancaire unique au monde, connu seulement au Japon : les </w:t>
      </w:r>
      <w:r w:rsidRPr="00972BBB">
        <w:rPr>
          <w:b/>
          <w:i/>
        </w:rPr>
        <w:t>tokubetsu</w:t>
      </w:r>
      <w:r>
        <w:t xml:space="preserve"> japonais, ou </w:t>
      </w:r>
      <w:r w:rsidRPr="000B1121">
        <w:rPr>
          <w:b/>
        </w:rPr>
        <w:t>comptes au porteur</w:t>
      </w:r>
      <w:r>
        <w:t>.</w:t>
      </w:r>
    </w:p>
    <w:p w14:paraId="0693B8D7" w14:textId="77777777" w:rsidR="00D257B8" w:rsidRDefault="00D257B8" w:rsidP="00D257B8">
      <w:pPr>
        <w:jc w:val="both"/>
      </w:pPr>
      <w:r>
        <w:t>À l’époque, les dépôts ne pouvaient s’effectuer qu’en Deutsche Mark.</w:t>
      </w:r>
    </w:p>
    <w:p w14:paraId="0693B8D8" w14:textId="77777777" w:rsidR="00D257B8" w:rsidRPr="002143E4" w:rsidRDefault="00D257B8" w:rsidP="00D257B8">
      <w:pPr>
        <w:spacing w:before="240"/>
        <w:jc w:val="both"/>
      </w:pPr>
      <w:r>
        <w:t>Le nom de code que Feldwald fils utilisera pour son compte au porteur est Fighthaven…</w:t>
      </w:r>
    </w:p>
    <w:p w14:paraId="0693B8D9" w14:textId="77777777" w:rsidR="00D257B8" w:rsidRDefault="00D257B8" w:rsidP="00D257B8">
      <w:pPr>
        <w:pStyle w:val="Titre3"/>
      </w:pPr>
      <w:bookmarkStart w:id="419" w:name="_Toc225614272"/>
      <w:bookmarkStart w:id="420" w:name="_Toc482815695"/>
      <w:r>
        <w:t>Compléments d’explication</w:t>
      </w:r>
      <w:bookmarkEnd w:id="419"/>
      <w:bookmarkEnd w:id="420"/>
    </w:p>
    <w:p w14:paraId="0693B8DA" w14:textId="77777777" w:rsidR="00D257B8" w:rsidRDefault="00D257B8" w:rsidP="001F7D23">
      <w:pPr>
        <w:pStyle w:val="Titre4"/>
      </w:pPr>
      <w:bookmarkStart w:id="421" w:name="_Toc225614273"/>
      <w:r>
        <w:t>Fonctionnement général d’une banque</w:t>
      </w:r>
      <w:bookmarkEnd w:id="421"/>
    </w:p>
    <w:p w14:paraId="0693B8DB" w14:textId="77777777" w:rsidR="00D257B8" w:rsidRDefault="00D257B8" w:rsidP="00D257B8">
      <w:pPr>
        <w:jc w:val="both"/>
      </w:pPr>
      <w:r>
        <w:t>Considérons trois dépôts A, B &amp; C de 100 €. Le banquier espère que A, B &amp; C ne viendront pas tout de suite réclamer ensemble leur argent. Il peut donc prêter une partie de ces dépôts à d’autres personnes. Mettons qu’il prête 100 € à D &amp; E à du 15 % l’an (taux des crédits de caisse). Le banquier vient ainsi de créer de la monnaie scripturale. Et donc un tiers des dépôts est conservé en réserve. C’est un ratio imposé par la réglementation (ratio qui varie selon les pays). Il faut également rémunérer les trois déposants. Mettons à du 3 % l’an (taux d’un livret-intérêt avantageux).</w:t>
      </w:r>
    </w:p>
    <w:p w14:paraId="0693B8DC" w14:textId="77777777" w:rsidR="00D257B8" w:rsidRDefault="00D257B8" w:rsidP="00D257B8">
      <w:pPr>
        <w:jc w:val="both"/>
      </w:pPr>
      <w:r>
        <w:t xml:space="preserve">Quel sera le gain net pour banquier ? 15 % de 200 €, diminués de 3 % sur 300 €, soit 30  € moins 9 €, égale </w:t>
      </w:r>
      <w:r w:rsidRPr="0030188E">
        <w:rPr>
          <w:b/>
        </w:rPr>
        <w:t>21 €</w:t>
      </w:r>
      <w:r>
        <w:t xml:space="preserve"> de bénéfice (= marge d’intermédiation bancaire ou MIB), hors frais de fonctionnement.</w:t>
      </w:r>
    </w:p>
    <w:p w14:paraId="0693B8DD" w14:textId="77777777" w:rsidR="00D257B8" w:rsidRDefault="00D257B8" w:rsidP="00D257B8">
      <w:pPr>
        <w:spacing w:before="240"/>
        <w:jc w:val="both"/>
      </w:pPr>
      <w:r>
        <w:t xml:space="preserve">Mais il y a mieux. Compte tenu des retards volontaires dans l’enregistrement des dépôts (la date valeur est postérieure de quelques semaines, parfois, s’il s’agit d’une opération internationale) et des retraits (la date valeur est antérieure au retrait réel s’il s’agit d’un retrait sur compte épargne), le banquier dispose en fait de quasiment un mois de retard vis-à-vis de ses clients (déposants ou demandeurs de crédits). Or 1/12 de 300 € fait 25 €, que le banquier peut placer entièrement (personne ne viendra jamais réclamer ces sommes) à du 15 %, soient 15 % de 25 €, c’est-à-dire </w:t>
      </w:r>
      <w:r w:rsidRPr="0030188E">
        <w:rPr>
          <w:b/>
        </w:rPr>
        <w:t>3,75 €</w:t>
      </w:r>
      <w:r>
        <w:t xml:space="preserve"> de bénéfice net.</w:t>
      </w:r>
    </w:p>
    <w:p w14:paraId="0693B8DE" w14:textId="77777777" w:rsidR="00D257B8" w:rsidRDefault="00D257B8" w:rsidP="00D257B8">
      <w:pPr>
        <w:spacing w:before="240"/>
        <w:jc w:val="both"/>
      </w:pPr>
      <w:r>
        <w:t>Pour rappel, un banquier est totalement insensible à l’inflation : elle ne fait que passer entre les mains du banquier. Ce sont ses clients (déposants et acheteurs de crédits) qui sont pénalisés par une éventuelle inflation. La seule inflation que le banquier subit, c’est sur ses propres achats de fonctionnement.</w:t>
      </w:r>
    </w:p>
    <w:p w14:paraId="0693B8DF" w14:textId="77777777" w:rsidR="00D257B8" w:rsidRPr="00282F1F" w:rsidRDefault="00D257B8" w:rsidP="001F7D23">
      <w:pPr>
        <w:pStyle w:val="Titre4"/>
      </w:pPr>
      <w:bookmarkStart w:id="422" w:name="_Toc225614274"/>
      <w:r>
        <w:t>F</w:t>
      </w:r>
      <w:r w:rsidRPr="00282F1F">
        <w:t>onctionnement d’une banque dans un paradis bancaire</w:t>
      </w:r>
      <w:bookmarkEnd w:id="422"/>
    </w:p>
    <w:p w14:paraId="0693B8E0" w14:textId="77777777" w:rsidR="00D257B8" w:rsidRDefault="00D257B8" w:rsidP="00D257B8">
      <w:pPr>
        <w:spacing w:before="240"/>
        <w:jc w:val="both"/>
      </w:pPr>
      <w:r>
        <w:t>Outre le capital de départ imposé par la législation du pays hébergeur (exemple : îles Bahamas ou îles Caïmans), supposons que le ratio de réserve soit toujours de 33 %.  Supposons que l’on dispose, en plus du capital de départ, de 1 million d’€. Ce million d’€ restera dans la banque, en tant que garantie de réserve de 33 %. On pourra donc prêter les 66 % (qui seront prêtés par la banque centrale du pays accueillant au taux de l’Interbancaire – de l’ordre de 3,5 % l’an), soient 3 millions d’€.</w:t>
      </w:r>
    </w:p>
    <w:p w14:paraId="0693B8E1" w14:textId="77777777" w:rsidR="00D257B8" w:rsidRDefault="00D257B8" w:rsidP="00D257B8">
      <w:pPr>
        <w:spacing w:before="240"/>
        <w:jc w:val="both"/>
      </w:pPr>
      <w:r>
        <w:lastRenderedPageBreak/>
        <w:t>Conclusion, on peut prêter 3 millions d’€ à du 15 % (crédit de caisse) diminués des 3,5 % redevables à la banque centrale, mais le tout augmenté de 2 % (taux des dépôts à la banque centrale) sur le placement du million d’€ en garantie de réserve. C’est-à-dire 11,5 % de 3 millions plus 2 % de 1 million, soit 345 000 € plus 20 000 €, total : 365 000 €, rapportés au million de départ, ce qui équivaut à un rendement annuel de… 36,5 % (hors frais et taxes) !</w:t>
      </w:r>
    </w:p>
    <w:p w14:paraId="0693B8E2" w14:textId="77777777" w:rsidR="00D257B8" w:rsidRDefault="00D257B8" w:rsidP="001F7D23">
      <w:pPr>
        <w:pStyle w:val="Titre4"/>
      </w:pPr>
      <w:bookmarkStart w:id="423" w:name="_Campione_d’Italia"/>
      <w:bookmarkStart w:id="424" w:name="_Notion_de_compte_au_porteur_(tokube"/>
      <w:bookmarkStart w:id="425" w:name="_Toc225614275"/>
      <w:bookmarkEnd w:id="423"/>
      <w:bookmarkEnd w:id="424"/>
      <w:r>
        <w:t>Notion de compte au porteur (</w:t>
      </w:r>
      <w:r w:rsidRPr="004B166E">
        <w:rPr>
          <w:i/>
        </w:rPr>
        <w:t>tokubetsu</w:t>
      </w:r>
      <w:r>
        <w:t xml:space="preserve"> japonais)</w:t>
      </w:r>
      <w:bookmarkEnd w:id="425"/>
    </w:p>
    <w:p w14:paraId="0693B8E3" w14:textId="77777777" w:rsidR="00D257B8" w:rsidRDefault="00D257B8" w:rsidP="00D257B8">
      <w:pPr>
        <w:jc w:val="both"/>
      </w:pPr>
      <w:r>
        <w:t>Le compte au porteur constitue le fin du fin en matière de secret bancaire, puisque le banquier lui-même ignore l’identité de son client.</w:t>
      </w:r>
    </w:p>
    <w:p w14:paraId="0693B8E4" w14:textId="77777777" w:rsidR="00D257B8" w:rsidRDefault="00D257B8" w:rsidP="00D257B8">
      <w:pPr>
        <w:spacing w:before="240"/>
        <w:jc w:val="both"/>
      </w:pPr>
      <w:r>
        <w:t>Il s’agit en réalité d’un compte-épargne au porteur. C’est-à-dire que n’importe qui peut se présenter à la banque et effectuer des opérations dessus, pour autant qu’il connaisse le nom de code (un pseudonyme) du titulaire. Ce nom n’apparaît évidemment pas sur le livret, mais essentiellement dans les livres de comptes de la banque.</w:t>
      </w:r>
    </w:p>
    <w:p w14:paraId="0693B8E5" w14:textId="77777777" w:rsidR="00D257B8" w:rsidRDefault="00D257B8" w:rsidP="00D257B8">
      <w:pPr>
        <w:jc w:val="both"/>
      </w:pPr>
      <w:r>
        <w:t>C’est l’association du numéro de livret et du nom de code qui permet d’effectuer les opérations. Donc voler – ou hériter d’ - un tel carnet sans connaître le nom de code ne sert à rien.</w:t>
      </w:r>
    </w:p>
    <w:p w14:paraId="0693B8E6" w14:textId="77777777" w:rsidR="00D257B8" w:rsidRDefault="00D257B8" w:rsidP="00D257B8">
      <w:pPr>
        <w:jc w:val="both"/>
      </w:pPr>
      <w:r>
        <w:t>Conséquence logique de ce type de compte : la signature (à l’ouverture du compte ou après) n’a strictement aucune importance… Mais il faut néanmoins signer (c’est une des conditions générales inhérentes au produit)…</w:t>
      </w:r>
    </w:p>
    <w:p w14:paraId="0693B8E7" w14:textId="77777777" w:rsidR="0017641A" w:rsidRPr="0017641A" w:rsidRDefault="0017641A" w:rsidP="0017641A">
      <w:pPr>
        <w:jc w:val="both"/>
      </w:pPr>
    </w:p>
    <w:p w14:paraId="0693B8E8" w14:textId="77777777" w:rsidR="004C64BF" w:rsidRDefault="008678D4" w:rsidP="00266865">
      <w:pPr>
        <w:pStyle w:val="Titre1"/>
      </w:pPr>
      <w:bookmarkStart w:id="426" w:name="Concordat_judiciaire_et_failli"/>
      <w:bookmarkStart w:id="427" w:name="_Toc482815696"/>
      <w:bookmarkEnd w:id="426"/>
      <w:r>
        <w:lastRenderedPageBreak/>
        <w:t>Loi sur la continuité des entreprises</w:t>
      </w:r>
      <w:bookmarkEnd w:id="427"/>
      <w:r w:rsidR="004C64BF">
        <w:t xml:space="preserve"> </w:t>
      </w:r>
    </w:p>
    <w:p w14:paraId="4B87FFE8" w14:textId="3B7152E1" w:rsidR="00772723" w:rsidRDefault="00772723">
      <w:r>
        <w:br w:type="page"/>
      </w:r>
    </w:p>
    <w:p w14:paraId="0693B8EA" w14:textId="77777777" w:rsidR="004C64BF" w:rsidRPr="00F55D0B" w:rsidRDefault="004C64BF" w:rsidP="00105A84">
      <w:pPr>
        <w:pStyle w:val="Titre2"/>
      </w:pPr>
      <w:bookmarkStart w:id="428" w:name="D_finitions_1046764167584297_64971382859"/>
      <w:bookmarkStart w:id="429" w:name="_Toc482815697"/>
      <w:bookmarkEnd w:id="428"/>
      <w:r w:rsidRPr="00F55D0B">
        <w:lastRenderedPageBreak/>
        <w:t>Définitions</w:t>
      </w:r>
      <w:bookmarkEnd w:id="429"/>
      <w:r w:rsidRPr="00F55D0B">
        <w:t xml:space="preserve"> </w:t>
      </w:r>
    </w:p>
    <w:p w14:paraId="0693B8EB" w14:textId="77777777" w:rsidR="004C64BF" w:rsidRPr="00F55D0B" w:rsidRDefault="00DE3138" w:rsidP="00F55D0B">
      <w:pPr>
        <w:pStyle w:val="StyleDivAprs14pt"/>
        <w:rPr>
          <w:rFonts w:eastAsia="Verdana"/>
        </w:rPr>
      </w:pPr>
      <w:r>
        <w:rPr>
          <w:rFonts w:eastAsia="Verdana"/>
          <w:lang w:val="fr-BE"/>
        </w:rPr>
        <w:t>É</w:t>
      </w:r>
      <w:r w:rsidR="004C64BF" w:rsidRPr="00F55D0B">
        <w:rPr>
          <w:rFonts w:eastAsia="Verdana"/>
        </w:rPr>
        <w:t>tat de faillite : tout commerçant qui a cessé ses paiements de manière persistante et dont le crédit se trouve ébranlé est en état de faillite</w:t>
      </w:r>
      <w:r w:rsidR="00F55D0B" w:rsidRPr="00F55D0B">
        <w:rPr>
          <w:rFonts w:eastAsia="Verdana"/>
        </w:rPr>
        <w:t>.</w:t>
      </w:r>
    </w:p>
    <w:p w14:paraId="0693B8EC" w14:textId="77777777" w:rsidR="007D40E9" w:rsidRDefault="007D40E9" w:rsidP="00105A84">
      <w:pPr>
        <w:pStyle w:val="Titre2"/>
      </w:pPr>
      <w:bookmarkStart w:id="430" w:name="_Toc482815698"/>
      <w:r>
        <w:t>Résumé</w:t>
      </w:r>
      <w:r>
        <w:rPr>
          <w:rStyle w:val="Appelnotedebasdep"/>
        </w:rPr>
        <w:footnoteReference w:id="49"/>
      </w:r>
      <w:bookmarkEnd w:id="430"/>
    </w:p>
    <w:p w14:paraId="0693B8ED" w14:textId="77777777" w:rsidR="007D40E9" w:rsidRPr="007D40E9" w:rsidRDefault="007D40E9" w:rsidP="007D40E9">
      <w:pPr>
        <w:jc w:val="both"/>
      </w:pPr>
      <w:r w:rsidRPr="007D40E9">
        <w:t xml:space="preserve">Par Michel Forges </w:t>
      </w:r>
      <w:r>
        <w:t xml:space="preserve">- </w:t>
      </w:r>
      <w:r w:rsidRPr="007D40E9">
        <w:t>Vendredi 30.01.09</w:t>
      </w:r>
    </w:p>
    <w:p w14:paraId="0693B8EE" w14:textId="77777777" w:rsidR="007D40E9" w:rsidRPr="007D40E9" w:rsidRDefault="007D40E9" w:rsidP="007D40E9">
      <w:pPr>
        <w:jc w:val="both"/>
      </w:pPr>
    </w:p>
    <w:p w14:paraId="0693B8EF" w14:textId="77777777" w:rsidR="007D40E9" w:rsidRPr="007D40E9" w:rsidRDefault="007D40E9" w:rsidP="007D40E9">
      <w:pPr>
        <w:jc w:val="both"/>
      </w:pPr>
      <w:r w:rsidRPr="007D40E9">
        <w:t xml:space="preserve">La loi du 17 juillet 1997 relative au concordat judiciaire vit ses derniers instants : sous réserve de son application aux procédures en concordat judiciaire en cours, la loi sur le concordat judiciaire sera abrogée dès l’entrée en vigueur de la loi sur la continuité des entreprises, qui devrait elle-même </w:t>
      </w:r>
      <w:r w:rsidR="008E60EC" w:rsidRPr="007D40E9">
        <w:t>entr</w:t>
      </w:r>
      <w:r w:rsidR="00606D66">
        <w:t>er</w:t>
      </w:r>
      <w:r w:rsidRPr="007D40E9">
        <w:t xml:space="preserve"> en vigueur à une date à déterminer par le Roi, mais au plus tard six mois après sa toute prochaine publication au Moniteur belge. (NDLR: [UPDATE] Publication au M.B. du 09 février 2009)</w:t>
      </w:r>
    </w:p>
    <w:p w14:paraId="0693B8F0" w14:textId="77777777" w:rsidR="007D40E9" w:rsidRPr="007D40E9" w:rsidRDefault="007D40E9" w:rsidP="007D40E9">
      <w:pPr>
        <w:jc w:val="both"/>
      </w:pPr>
    </w:p>
    <w:p w14:paraId="0693B8F1" w14:textId="77777777" w:rsidR="007D40E9" w:rsidRPr="007D40E9" w:rsidRDefault="007D40E9" w:rsidP="007D40E9">
      <w:pPr>
        <w:jc w:val="both"/>
      </w:pPr>
      <w:r w:rsidRPr="007D40E9">
        <w:t>La nouvelle procédure ne fait pas table rase du passé ; un lecteur non averti pourrait penser, à première vue, que le législateur aurait, une fois de plus, fait du neuf avec du vieux.</w:t>
      </w:r>
    </w:p>
    <w:p w14:paraId="0693B8F2" w14:textId="77777777" w:rsidR="007D40E9" w:rsidRPr="007D40E9" w:rsidRDefault="007D40E9" w:rsidP="007D40E9">
      <w:pPr>
        <w:jc w:val="both"/>
      </w:pPr>
    </w:p>
    <w:p w14:paraId="0693B8F3" w14:textId="77777777" w:rsidR="007D40E9" w:rsidRPr="007D40E9" w:rsidRDefault="007D40E9" w:rsidP="007D40E9">
      <w:pPr>
        <w:jc w:val="both"/>
      </w:pPr>
      <w:r w:rsidRPr="007D40E9">
        <w:t xml:space="preserve">Mais un examen attentif révèle que la loi va plus loin et met de nouveaux outils à la disposition des entreprises, de leurs créanciers et du tribunal de commerce. La loi nouvelle ne se limite pas, en effet, à substituer la "procédure de réorganisation judiciaire" à la "procédure de concordat" : elle étend les remèdes possibles, tente de concilier les effets d’une procédure de « chapter 11 » et les intérêts des créanciers, et refuse de voir dans la faillite la seule issue possible de l’échec d’une réorganisation. </w:t>
      </w:r>
    </w:p>
    <w:p w14:paraId="0693B8F4" w14:textId="77777777" w:rsidR="007D40E9" w:rsidRPr="007D40E9" w:rsidRDefault="007D40E9" w:rsidP="007D40E9">
      <w:pPr>
        <w:jc w:val="both"/>
      </w:pPr>
    </w:p>
    <w:p w14:paraId="0693B8F5" w14:textId="77777777" w:rsidR="007D40E9" w:rsidRPr="007D40E9" w:rsidRDefault="007D40E9" w:rsidP="007D40E9">
      <w:pPr>
        <w:jc w:val="both"/>
      </w:pPr>
      <w:r w:rsidRPr="007D40E9">
        <w:t>La loi nouvelle comprend 86 articles, répartis en huit titres ; nous en livrons un bref commentaire non exhaustif.</w:t>
      </w:r>
    </w:p>
    <w:p w14:paraId="0693B8F6" w14:textId="77777777" w:rsidR="007D40E9" w:rsidRPr="007D40E9" w:rsidRDefault="007D40E9" w:rsidP="007D40E9">
      <w:pPr>
        <w:pStyle w:val="Titre3"/>
      </w:pPr>
      <w:bookmarkStart w:id="431" w:name="_Toc482815699"/>
      <w:r w:rsidRPr="007D40E9">
        <w:t>Conditions d’application</w:t>
      </w:r>
      <w:bookmarkEnd w:id="431"/>
    </w:p>
    <w:p w14:paraId="0693B8F7" w14:textId="77777777" w:rsidR="007D40E9" w:rsidRPr="007D40E9" w:rsidRDefault="007D40E9" w:rsidP="007D40E9">
      <w:pPr>
        <w:jc w:val="both"/>
      </w:pPr>
      <w:r w:rsidRPr="007D40E9">
        <w:t>La procédure peut être ouverte dès que la continuité de l'entreprise est menacée, à bref délai ou à terme, et lorsque tout, ou partie, de son activité est susceptible d'être maintenue.</w:t>
      </w:r>
    </w:p>
    <w:p w14:paraId="0693B8F8" w14:textId="77777777" w:rsidR="007D40E9" w:rsidRPr="007D40E9" w:rsidRDefault="007D40E9" w:rsidP="007D40E9">
      <w:pPr>
        <w:jc w:val="both"/>
      </w:pPr>
    </w:p>
    <w:p w14:paraId="0693B8F9" w14:textId="77777777" w:rsidR="007D40E9" w:rsidRPr="007D40E9" w:rsidRDefault="007D40E9" w:rsidP="007D40E9">
      <w:pPr>
        <w:jc w:val="both"/>
      </w:pPr>
      <w:r w:rsidRPr="007D40E9">
        <w:t>L’entreprise peut être une société ou une personne physique ; lorsqu’il s’agit d’une société, il suffit que les pertes aient réduit l’actif net à moins de la moitié du capital social pour que la continuité de l’entreprise soit tenue pour menacée.</w:t>
      </w:r>
    </w:p>
    <w:p w14:paraId="0693B8FA" w14:textId="77777777" w:rsidR="007D40E9" w:rsidRPr="007D40E9" w:rsidRDefault="007D40E9" w:rsidP="007D40E9">
      <w:pPr>
        <w:pStyle w:val="Titre3"/>
      </w:pPr>
      <w:bookmarkStart w:id="432" w:name="_Toc482815700"/>
      <w:r w:rsidRPr="007D40E9">
        <w:t>Néo-commercialité et innovations terminologiques</w:t>
      </w:r>
      <w:bookmarkEnd w:id="432"/>
    </w:p>
    <w:p w14:paraId="0693B8FB" w14:textId="77777777" w:rsidR="007D40E9" w:rsidRPr="007D40E9" w:rsidRDefault="007D40E9" w:rsidP="007D40E9">
      <w:pPr>
        <w:jc w:val="both"/>
      </w:pPr>
      <w:r w:rsidRPr="007D40E9">
        <w:t>Le champ d’application de la loi excède les bornes de la commercialité classique, déjà mise à mal par d’autres législations : les commerçants et les sociétés commerciales, les sociétés agricoles et même les sociétés civiles (sauf celles qui exercent une profession libérale) peuvent en bénéficier.</w:t>
      </w:r>
    </w:p>
    <w:p w14:paraId="0693B8FC" w14:textId="77777777" w:rsidR="007D40E9" w:rsidRPr="007D40E9" w:rsidRDefault="007D40E9" w:rsidP="007D40E9">
      <w:pPr>
        <w:jc w:val="both"/>
      </w:pPr>
    </w:p>
    <w:p w14:paraId="0693B8FD" w14:textId="77777777" w:rsidR="007D40E9" w:rsidRPr="007D40E9" w:rsidRDefault="007D40E9" w:rsidP="007D40E9">
      <w:pPr>
        <w:jc w:val="both"/>
      </w:pPr>
      <w:r w:rsidRPr="007D40E9">
        <w:t>Des définitions nouvelles sont énoncées</w:t>
      </w:r>
      <w:r w:rsidR="00F434F7">
        <w:t> </w:t>
      </w:r>
      <w:r w:rsidRPr="007D40E9">
        <w:t>: le « créancier sursitaire ordinaire », « le créancier-propriétaire », l’« établissement principal », et même le « tribunal » reçoivent une signification spécifique à laquelle il conviendra de se familiariser.</w:t>
      </w:r>
    </w:p>
    <w:p w14:paraId="0693B8FE" w14:textId="77777777" w:rsidR="007D40E9" w:rsidRPr="007D40E9" w:rsidRDefault="007D40E9" w:rsidP="007D40E9">
      <w:pPr>
        <w:jc w:val="both"/>
      </w:pPr>
    </w:p>
    <w:p w14:paraId="0693B8FF" w14:textId="77777777" w:rsidR="007D40E9" w:rsidRPr="007D40E9" w:rsidRDefault="007D40E9" w:rsidP="007D40E9">
      <w:pPr>
        <w:jc w:val="both"/>
      </w:pPr>
      <w:r w:rsidRPr="007D40E9">
        <w:lastRenderedPageBreak/>
        <w:t>La collecte des données et les enquêtes commerciales d’une part, la possibilité de désigner un « médiateur d’entreprise » d’autre part</w:t>
      </w:r>
    </w:p>
    <w:p w14:paraId="0693B900" w14:textId="77777777" w:rsidR="008E60EC" w:rsidRDefault="008E60EC" w:rsidP="007D40E9">
      <w:pPr>
        <w:jc w:val="both"/>
      </w:pPr>
    </w:p>
    <w:p w14:paraId="0693B901" w14:textId="77777777" w:rsidR="007D40E9" w:rsidRPr="007D40E9" w:rsidRDefault="007D40E9" w:rsidP="007D40E9">
      <w:pPr>
        <w:jc w:val="both"/>
      </w:pPr>
      <w:r w:rsidRPr="007D40E9">
        <w:t>Les règles qui régissent actuellement le dépistage (la collecte des « clignotants ») et les enquêtes commerciales sont reprises.</w:t>
      </w:r>
    </w:p>
    <w:p w14:paraId="0693B902" w14:textId="77777777" w:rsidR="007D40E9" w:rsidRPr="007D40E9" w:rsidRDefault="007D40E9" w:rsidP="007D40E9">
      <w:pPr>
        <w:jc w:val="both"/>
      </w:pPr>
    </w:p>
    <w:p w14:paraId="0693B903" w14:textId="77777777" w:rsidR="007D40E9" w:rsidRPr="007D40E9" w:rsidRDefault="007D40E9" w:rsidP="007D40E9">
      <w:pPr>
        <w:jc w:val="both"/>
      </w:pPr>
      <w:r w:rsidRPr="007D40E9">
        <w:t>Mais la loi innove en créant un médiateur d’un nouveau type : le « médiateur d’entreprise », dont le débiteur peut solliciter la désignation pour faciliter la réorganisation de son entreprise et dont la mission peut être plus ou moins étendue.</w:t>
      </w:r>
    </w:p>
    <w:p w14:paraId="0693B904" w14:textId="77777777" w:rsidR="007D40E9" w:rsidRPr="007D40E9" w:rsidRDefault="007D40E9" w:rsidP="007D40E9">
      <w:pPr>
        <w:pStyle w:val="Titre3"/>
      </w:pPr>
      <w:bookmarkStart w:id="433" w:name="_Toc482815701"/>
      <w:r w:rsidRPr="007D40E9">
        <w:t>L’accord amiable</w:t>
      </w:r>
      <w:bookmarkEnd w:id="433"/>
      <w:r w:rsidRPr="007D40E9">
        <w:t xml:space="preserve"> </w:t>
      </w:r>
    </w:p>
    <w:p w14:paraId="0693B905" w14:textId="77777777" w:rsidR="007D40E9" w:rsidRPr="007D40E9" w:rsidRDefault="007D40E9" w:rsidP="007D40E9">
      <w:pPr>
        <w:jc w:val="both"/>
      </w:pPr>
      <w:r w:rsidRPr="007D40E9">
        <w:t xml:space="preserve">Le débiteur peut désormais proposer à ses créanciers ou à certains </w:t>
      </w:r>
      <w:r>
        <w:t>d’entre eux un « accord amiable </w:t>
      </w:r>
      <w:r w:rsidRPr="007D40E9">
        <w:t>», qui demeurera opposable aux créanciers et au curateur en cas de faillite.</w:t>
      </w:r>
    </w:p>
    <w:p w14:paraId="0693B906" w14:textId="77777777" w:rsidR="007D40E9" w:rsidRPr="007D40E9" w:rsidRDefault="007D40E9" w:rsidP="007D40E9">
      <w:pPr>
        <w:pStyle w:val="Titre3"/>
      </w:pPr>
      <w:bookmarkStart w:id="434" w:name="_Toc482815702"/>
      <w:r w:rsidRPr="007D40E9">
        <w:t>La réorganisation judiciaire</w:t>
      </w:r>
      <w:bookmarkEnd w:id="434"/>
    </w:p>
    <w:p w14:paraId="0693B907" w14:textId="49300FB5" w:rsidR="007D40E9" w:rsidRPr="007D40E9" w:rsidRDefault="007D40E9" w:rsidP="007D40E9">
      <w:pPr>
        <w:jc w:val="both"/>
      </w:pPr>
      <w:r w:rsidRPr="007D40E9">
        <w:t>La réorganisation judiciaire tend à accorder un sursis, soit pour permettre la c</w:t>
      </w:r>
      <w:r w:rsidR="00907132">
        <w:t>onclusion d’un « accord amiable </w:t>
      </w:r>
      <w:r w:rsidRPr="007D40E9">
        <w:t>», soit pour déterminer un accord des créanciers sur un plan de réorganisation, soit pour permettre le transfert de tout ou partie de l’entreprise.</w:t>
      </w:r>
    </w:p>
    <w:p w14:paraId="0693B908" w14:textId="77777777" w:rsidR="007D40E9" w:rsidRPr="007D40E9" w:rsidRDefault="007D40E9" w:rsidP="007D40E9">
      <w:pPr>
        <w:jc w:val="both"/>
      </w:pPr>
    </w:p>
    <w:p w14:paraId="0693B909" w14:textId="77777777" w:rsidR="007D40E9" w:rsidRPr="007D40E9" w:rsidRDefault="007D40E9" w:rsidP="007D40E9">
      <w:pPr>
        <w:jc w:val="both"/>
      </w:pPr>
      <w:r w:rsidRPr="007D40E9">
        <w:t xml:space="preserve">La procédure est introduite par le dépôt d’une requête qui ressemble fort à la requête en concordat actuelle, et dont les effets sont comparables : </w:t>
      </w:r>
    </w:p>
    <w:p w14:paraId="0693B90A" w14:textId="77777777" w:rsidR="007D40E9" w:rsidRPr="007D40E9" w:rsidRDefault="007D40E9" w:rsidP="007D40E9">
      <w:pPr>
        <w:jc w:val="both"/>
      </w:pPr>
    </w:p>
    <w:p w14:paraId="0693B90B" w14:textId="77777777" w:rsidR="007D40E9" w:rsidRPr="007D40E9" w:rsidRDefault="007D40E9" w:rsidP="007D40E9">
      <w:pPr>
        <w:jc w:val="both"/>
      </w:pPr>
      <w:r w:rsidRPr="007D40E9">
        <w:t>- le débiteur ne peut être déclaré en faillite tant que le tribunal n’a pas statué sur la requête ;</w:t>
      </w:r>
    </w:p>
    <w:p w14:paraId="0693B90C" w14:textId="77777777" w:rsidR="007D40E9" w:rsidRPr="007D40E9" w:rsidRDefault="007D40E9" w:rsidP="007D40E9">
      <w:pPr>
        <w:jc w:val="both"/>
      </w:pPr>
    </w:p>
    <w:p w14:paraId="0693B90D" w14:textId="77777777" w:rsidR="007D40E9" w:rsidRPr="007D40E9" w:rsidRDefault="007D40E9" w:rsidP="007D40E9">
      <w:pPr>
        <w:jc w:val="both"/>
      </w:pPr>
      <w:r w:rsidRPr="007D40E9">
        <w:t>- les voies d’exécution sont suspendues ;</w:t>
      </w:r>
    </w:p>
    <w:p w14:paraId="0693B90E" w14:textId="77777777" w:rsidR="007D40E9" w:rsidRPr="007D40E9" w:rsidRDefault="007D40E9" w:rsidP="007D40E9">
      <w:pPr>
        <w:jc w:val="both"/>
      </w:pPr>
    </w:p>
    <w:p w14:paraId="0693B90F" w14:textId="77777777" w:rsidR="007D40E9" w:rsidRPr="007D40E9" w:rsidRDefault="007D40E9" w:rsidP="007D40E9">
      <w:pPr>
        <w:jc w:val="both"/>
      </w:pPr>
      <w:r w:rsidRPr="007D40E9">
        <w:t>- les codébiteurs et cautions ne sont pas protégés et peuvent toujours être poursuivis, sous réserve de l’application des dispositions du code civil relatives au cautionnement à titre gratuit.</w:t>
      </w:r>
    </w:p>
    <w:p w14:paraId="0693B910" w14:textId="77777777" w:rsidR="007D40E9" w:rsidRPr="007D40E9" w:rsidRDefault="007D40E9" w:rsidP="007D40E9">
      <w:pPr>
        <w:jc w:val="both"/>
      </w:pPr>
    </w:p>
    <w:p w14:paraId="0693B911" w14:textId="77777777" w:rsidR="007D40E9" w:rsidRPr="007D40E9" w:rsidRDefault="007D40E9" w:rsidP="007D40E9">
      <w:pPr>
        <w:jc w:val="both"/>
      </w:pPr>
      <w:r w:rsidRPr="007D40E9">
        <w:t>L’état de faillite ne fait pas obstacle en soi à l’ouverture ou à la poursuite de la procédure.</w:t>
      </w:r>
    </w:p>
    <w:p w14:paraId="0693B912" w14:textId="77777777" w:rsidR="007D40E9" w:rsidRPr="007D40E9" w:rsidRDefault="007D40E9" w:rsidP="007D40E9">
      <w:pPr>
        <w:pStyle w:val="Titre3"/>
      </w:pPr>
      <w:bookmarkStart w:id="435" w:name="_Toc482815703"/>
      <w:r w:rsidRPr="007D40E9">
        <w:t>Trois grands types de réorganisations</w:t>
      </w:r>
      <w:bookmarkEnd w:id="435"/>
    </w:p>
    <w:p w14:paraId="0693B913" w14:textId="77777777" w:rsidR="007D40E9" w:rsidRPr="007D40E9" w:rsidRDefault="007D40E9" w:rsidP="007D40E9">
      <w:pPr>
        <w:jc w:val="both"/>
      </w:pPr>
      <w:r w:rsidRPr="007D40E9">
        <w:t>La loi prévoit trois types de réorganisations, qui sont susceptibles de se combiner, successivement ou simultanément :</w:t>
      </w:r>
    </w:p>
    <w:p w14:paraId="0693B914" w14:textId="77777777" w:rsidR="007D40E9" w:rsidRPr="007D40E9" w:rsidRDefault="007D40E9" w:rsidP="007D40E9">
      <w:pPr>
        <w:jc w:val="both"/>
      </w:pPr>
    </w:p>
    <w:p w14:paraId="0693B915" w14:textId="77777777" w:rsidR="007D40E9" w:rsidRPr="007D40E9" w:rsidRDefault="007D40E9" w:rsidP="007D40E9">
      <w:pPr>
        <w:jc w:val="both"/>
      </w:pPr>
      <w:r w:rsidRPr="007D40E9">
        <w:t>- la réorganisation par accord amiable sous supervision judiciaire ;</w:t>
      </w:r>
    </w:p>
    <w:p w14:paraId="0693B916" w14:textId="77777777" w:rsidR="007D40E9" w:rsidRPr="007D40E9" w:rsidRDefault="007D40E9" w:rsidP="007D40E9">
      <w:pPr>
        <w:jc w:val="both"/>
      </w:pPr>
    </w:p>
    <w:p w14:paraId="0693B917" w14:textId="77777777" w:rsidR="007D40E9" w:rsidRPr="007D40E9" w:rsidRDefault="007D40E9" w:rsidP="007D40E9">
      <w:pPr>
        <w:jc w:val="both"/>
      </w:pPr>
      <w:r w:rsidRPr="007D40E9">
        <w:t>- la réorganisation par accord collectif, c’est-à-dire le concordat au sens de la législation actuelle ;</w:t>
      </w:r>
    </w:p>
    <w:p w14:paraId="0693B918" w14:textId="77777777" w:rsidR="007D40E9" w:rsidRPr="007D40E9" w:rsidRDefault="007D40E9" w:rsidP="007D40E9">
      <w:pPr>
        <w:jc w:val="both"/>
      </w:pPr>
    </w:p>
    <w:p w14:paraId="0693B919" w14:textId="77777777" w:rsidR="007D40E9" w:rsidRPr="007D40E9" w:rsidRDefault="007D40E9" w:rsidP="007D40E9">
      <w:pPr>
        <w:jc w:val="both"/>
      </w:pPr>
      <w:r w:rsidRPr="007D40E9">
        <w:t>- la réorganisation par transfert sous autorité de justice.</w:t>
      </w:r>
    </w:p>
    <w:p w14:paraId="0693B91A" w14:textId="77777777" w:rsidR="007D40E9" w:rsidRPr="007D40E9" w:rsidRDefault="007D40E9" w:rsidP="007D40E9">
      <w:pPr>
        <w:jc w:val="both"/>
      </w:pPr>
    </w:p>
    <w:p w14:paraId="0693B91B" w14:textId="77777777" w:rsidR="007D40E9" w:rsidRPr="007D40E9" w:rsidRDefault="007D40E9" w:rsidP="007D40E9">
      <w:pPr>
        <w:jc w:val="both"/>
      </w:pPr>
      <w:r w:rsidRPr="007D40E9">
        <w:t>Le commissaire au sursis disparaît et du même coup l’aspect souvent jugé trop coûteux de la procédure. C’est le « juge délégué » qui sera désormais chargé de faire rapport au tribunal sur la recevabilité et le fondement de la demande, de veiller au respect de la loi et de tenir le tribunal informé de la situation du débiteur.</w:t>
      </w:r>
    </w:p>
    <w:p w14:paraId="0693B91C" w14:textId="77777777" w:rsidR="007D40E9" w:rsidRPr="007D40E9" w:rsidRDefault="007D40E9" w:rsidP="007D40E9">
      <w:pPr>
        <w:jc w:val="both"/>
      </w:pPr>
    </w:p>
    <w:p w14:paraId="0693B91D" w14:textId="77777777" w:rsidR="007D40E9" w:rsidRPr="007D40E9" w:rsidRDefault="007D40E9" w:rsidP="007D40E9">
      <w:pPr>
        <w:jc w:val="both"/>
      </w:pPr>
      <w:r w:rsidRPr="007D40E9">
        <w:t xml:space="preserve">Le débiteur restera en outre seul maître de la gestion de son entreprise, en principe (à la demande du débiteur ou d’un tiers intéressé, un mandataire de justice pourra être désigné pour assister le </w:t>
      </w:r>
      <w:r w:rsidRPr="007D40E9">
        <w:lastRenderedPageBreak/>
        <w:t>débiteur dans sa réorganisation ; la désignation d’un administrateur provisoire est également possible).</w:t>
      </w:r>
    </w:p>
    <w:p w14:paraId="0693B91E" w14:textId="77777777" w:rsidR="007D40E9" w:rsidRPr="007D40E9" w:rsidRDefault="007D40E9" w:rsidP="007D40E9">
      <w:pPr>
        <w:pStyle w:val="Titre3"/>
      </w:pPr>
      <w:bookmarkStart w:id="436" w:name="_Toc482815704"/>
      <w:r w:rsidRPr="007D40E9">
        <w:t>Des simplifications et une volonté de mettre fin aux controverses</w:t>
      </w:r>
      <w:bookmarkEnd w:id="436"/>
    </w:p>
    <w:p w14:paraId="0693B91F" w14:textId="77777777" w:rsidR="007D40E9" w:rsidRPr="007D40E9" w:rsidRDefault="007D40E9" w:rsidP="007D40E9">
      <w:pPr>
        <w:jc w:val="both"/>
      </w:pPr>
      <w:r w:rsidRPr="007D40E9">
        <w:t>La loi nouvelle réalise de nombreuses simplifications ou clarifications (certains regretteront que le mot « concours » ne soit pas employé, ne fût-ce que pour préciser que la réorganisation judiciaire n’est pas un cas de concours des créanciers).</w:t>
      </w:r>
    </w:p>
    <w:p w14:paraId="0693B920" w14:textId="77777777" w:rsidR="007D40E9" w:rsidRPr="007D40E9" w:rsidRDefault="007D40E9" w:rsidP="007D40E9">
      <w:pPr>
        <w:jc w:val="both"/>
      </w:pPr>
    </w:p>
    <w:p w14:paraId="0693B921" w14:textId="77777777" w:rsidR="007D40E9" w:rsidRPr="007D40E9" w:rsidRDefault="007D40E9" w:rsidP="007D40E9">
      <w:pPr>
        <w:jc w:val="both"/>
      </w:pPr>
      <w:r w:rsidRPr="007D40E9">
        <w:t xml:space="preserve">Par exemple, la procédure de déclaration de créances est accélérée. </w:t>
      </w:r>
    </w:p>
    <w:p w14:paraId="0693B922" w14:textId="77777777" w:rsidR="007D40E9" w:rsidRPr="007D40E9" w:rsidRDefault="007D40E9" w:rsidP="007D40E9">
      <w:pPr>
        <w:jc w:val="both"/>
      </w:pPr>
    </w:p>
    <w:p w14:paraId="0693B923" w14:textId="77777777" w:rsidR="007D40E9" w:rsidRPr="007D40E9" w:rsidRDefault="007D40E9" w:rsidP="007D40E9">
      <w:pPr>
        <w:jc w:val="both"/>
      </w:pPr>
      <w:r w:rsidRPr="007D40E9">
        <w:t xml:space="preserve">La loi met fin à l’inopposabilité des conditions résolutoires pour cause de concordat ou à la possibilité pour le tribunal de déclarer d’office la faillite en cas d’échec du concordat. </w:t>
      </w:r>
    </w:p>
    <w:p w14:paraId="0693B924" w14:textId="77777777" w:rsidR="007D40E9" w:rsidRPr="007D40E9" w:rsidRDefault="007D40E9" w:rsidP="007D40E9">
      <w:pPr>
        <w:jc w:val="both"/>
      </w:pPr>
    </w:p>
    <w:p w14:paraId="0693B925" w14:textId="77777777" w:rsidR="007D40E9" w:rsidRPr="007D40E9" w:rsidRDefault="007D40E9" w:rsidP="007D40E9">
      <w:pPr>
        <w:jc w:val="both"/>
      </w:pPr>
      <w:r w:rsidRPr="007D40E9">
        <w:t xml:space="preserve">La loi clarifie également le régime de la compensation, le sort de l’action directe du sous-traitant et le régime des créances fiscales. </w:t>
      </w:r>
    </w:p>
    <w:p w14:paraId="0693B926" w14:textId="77777777" w:rsidR="007D40E9" w:rsidRPr="007D40E9" w:rsidRDefault="007D40E9" w:rsidP="007D40E9">
      <w:pPr>
        <w:jc w:val="both"/>
      </w:pPr>
    </w:p>
    <w:p w14:paraId="0693B927" w14:textId="77777777" w:rsidR="007D40E9" w:rsidRPr="007D40E9" w:rsidRDefault="007D40E9" w:rsidP="007D40E9">
      <w:pPr>
        <w:jc w:val="both"/>
      </w:pPr>
      <w:r w:rsidRPr="007D40E9">
        <w:t xml:space="preserve">La loi précise davantage les diverses étapes de la procédure, en ce compris les modalités du vote des créanciers sur le plan de réorganisation. </w:t>
      </w:r>
    </w:p>
    <w:p w14:paraId="0693B928" w14:textId="77777777" w:rsidR="007D40E9" w:rsidRPr="007D40E9" w:rsidRDefault="007D40E9" w:rsidP="007D40E9">
      <w:pPr>
        <w:jc w:val="both"/>
      </w:pPr>
    </w:p>
    <w:p w14:paraId="0693B929" w14:textId="77777777" w:rsidR="007D40E9" w:rsidRPr="007D40E9" w:rsidRDefault="007D40E9" w:rsidP="007D40E9">
      <w:pPr>
        <w:jc w:val="both"/>
      </w:pPr>
      <w:r w:rsidRPr="007D40E9">
        <w:t>Enfin, elle met fin à la pénalisation fiscale qui frappait les économies réalisées par le débiteur lors de la renonciation de ses créanciers à tout ou partie de leur dû.</w:t>
      </w:r>
    </w:p>
    <w:p w14:paraId="0693B92A" w14:textId="77777777" w:rsidR="007D40E9" w:rsidRPr="007D40E9" w:rsidRDefault="007D40E9" w:rsidP="007D40E9">
      <w:pPr>
        <w:pStyle w:val="Titre3"/>
      </w:pPr>
      <w:bookmarkStart w:id="437" w:name="_Toc482815705"/>
      <w:r w:rsidRPr="007D40E9">
        <w:t>Le transfert sous autorité de justice</w:t>
      </w:r>
      <w:bookmarkEnd w:id="437"/>
    </w:p>
    <w:p w14:paraId="0693B92B" w14:textId="77777777" w:rsidR="007D40E9" w:rsidRPr="007D40E9" w:rsidRDefault="007D40E9" w:rsidP="007D40E9">
      <w:pPr>
        <w:jc w:val="both"/>
      </w:pPr>
      <w:r w:rsidRPr="007D40E9">
        <w:t>Plus de dix articles sont consacrés au transfert sous autorité de justice de tout ou partie de l’entreprise ou de ses activités.</w:t>
      </w:r>
    </w:p>
    <w:p w14:paraId="0693B92C" w14:textId="77777777" w:rsidR="007D40E9" w:rsidRPr="007D40E9" w:rsidRDefault="007D40E9" w:rsidP="007D40E9">
      <w:pPr>
        <w:jc w:val="both"/>
      </w:pPr>
    </w:p>
    <w:p w14:paraId="0693B92D" w14:textId="77777777" w:rsidR="007D40E9" w:rsidRPr="007D40E9" w:rsidRDefault="007D40E9" w:rsidP="007D40E9">
      <w:pPr>
        <w:jc w:val="both"/>
      </w:pPr>
      <w:r w:rsidRPr="007D40E9">
        <w:t>Ces articles précisent notamment :</w:t>
      </w:r>
    </w:p>
    <w:p w14:paraId="0693B92E" w14:textId="77777777" w:rsidR="007D40E9" w:rsidRPr="007D40E9" w:rsidRDefault="007D40E9" w:rsidP="007D40E9">
      <w:pPr>
        <w:jc w:val="both"/>
      </w:pPr>
    </w:p>
    <w:p w14:paraId="0693B92F" w14:textId="77777777" w:rsidR="007D40E9" w:rsidRPr="007D40E9" w:rsidRDefault="007D40E9" w:rsidP="007D40E9">
      <w:pPr>
        <w:jc w:val="both"/>
      </w:pPr>
      <w:r w:rsidRPr="007D40E9">
        <w:t>- la nécessaire nomination d’un mandataire de justice pour organiser et réaliser le transfert ;</w:t>
      </w:r>
    </w:p>
    <w:p w14:paraId="0693B930" w14:textId="77777777" w:rsidR="007D40E9" w:rsidRPr="007D40E9" w:rsidRDefault="007D40E9" w:rsidP="007D40E9">
      <w:pPr>
        <w:jc w:val="both"/>
      </w:pPr>
    </w:p>
    <w:p w14:paraId="0693B931" w14:textId="77777777" w:rsidR="007D40E9" w:rsidRPr="007D40E9" w:rsidRDefault="007D40E9" w:rsidP="007D40E9">
      <w:pPr>
        <w:jc w:val="both"/>
      </w:pPr>
      <w:r w:rsidRPr="007D40E9">
        <w:t>- les mesures protectrices des droits des travailleurs et les conditions dans lesquelles les contrats de travail pourraient le cas échéant être modifiés ;</w:t>
      </w:r>
    </w:p>
    <w:p w14:paraId="0693B932" w14:textId="77777777" w:rsidR="007D40E9" w:rsidRPr="007D40E9" w:rsidRDefault="007D40E9" w:rsidP="007D40E9">
      <w:pPr>
        <w:jc w:val="both"/>
      </w:pPr>
    </w:p>
    <w:p w14:paraId="0693B933" w14:textId="77777777" w:rsidR="007D40E9" w:rsidRPr="007D40E9" w:rsidRDefault="007D40E9" w:rsidP="007D40E9">
      <w:pPr>
        <w:jc w:val="both"/>
      </w:pPr>
      <w:r w:rsidRPr="007D40E9">
        <w:t>- les mesures protectrices des droits du créancier hypothécaire ou gagiste sur fonds de commerce ;</w:t>
      </w:r>
    </w:p>
    <w:p w14:paraId="0693B934" w14:textId="77777777" w:rsidR="007D40E9" w:rsidRPr="007D40E9" w:rsidRDefault="007D40E9" w:rsidP="007D40E9">
      <w:pPr>
        <w:jc w:val="both"/>
      </w:pPr>
    </w:p>
    <w:p w14:paraId="0693B935" w14:textId="77777777" w:rsidR="007D40E9" w:rsidRPr="007D40E9" w:rsidRDefault="007D40E9" w:rsidP="007D40E9">
      <w:pPr>
        <w:jc w:val="both"/>
      </w:pPr>
      <w:r w:rsidRPr="007D40E9">
        <w:t>- l’issue de la procédure de réorganisation, couplée à la dissolution immédiate de la personne morale et à l’éventuelle décharge de tout passif, pour la personne physique ;</w:t>
      </w:r>
    </w:p>
    <w:p w14:paraId="0693B936" w14:textId="77777777" w:rsidR="007D40E9" w:rsidRPr="007D40E9" w:rsidRDefault="007D40E9" w:rsidP="007D40E9">
      <w:pPr>
        <w:jc w:val="both"/>
      </w:pPr>
    </w:p>
    <w:p w14:paraId="0693B937" w14:textId="77777777" w:rsidR="007D40E9" w:rsidRPr="007D40E9" w:rsidRDefault="007D40E9" w:rsidP="007D40E9">
      <w:pPr>
        <w:jc w:val="both"/>
      </w:pPr>
      <w:r w:rsidRPr="007D40E9">
        <w:t>- le sort des cautions.</w:t>
      </w:r>
    </w:p>
    <w:p w14:paraId="0693B938" w14:textId="77777777" w:rsidR="007D40E9" w:rsidRPr="007D40E9" w:rsidRDefault="007D40E9" w:rsidP="007D40E9">
      <w:pPr>
        <w:pStyle w:val="Titre3"/>
      </w:pPr>
      <w:bookmarkStart w:id="438" w:name="_Toc482815706"/>
      <w:r w:rsidRPr="007D40E9">
        <w:t>Conclusion : de nouveaux espoirs</w:t>
      </w:r>
      <w:bookmarkEnd w:id="438"/>
    </w:p>
    <w:p w14:paraId="0693B939" w14:textId="77777777" w:rsidR="007D40E9" w:rsidRPr="007D40E9" w:rsidRDefault="007D40E9" w:rsidP="007D40E9">
      <w:pPr>
        <w:jc w:val="both"/>
      </w:pPr>
      <w:r w:rsidRPr="007D40E9">
        <w:t>La loi nouvelle donne de nouveaux espoirs, et vient au bon moment, pour appuyer une lutte nécessaire contre l’accroissement du nombre de faillites.</w:t>
      </w:r>
    </w:p>
    <w:p w14:paraId="0693B93A" w14:textId="77777777" w:rsidR="007D40E9" w:rsidRPr="007D40E9" w:rsidRDefault="007D40E9" w:rsidP="007D40E9">
      <w:pPr>
        <w:jc w:val="both"/>
      </w:pPr>
    </w:p>
    <w:p w14:paraId="0693B93B" w14:textId="77777777" w:rsidR="007D40E9" w:rsidRPr="007D40E9" w:rsidRDefault="007D40E9" w:rsidP="007D40E9">
      <w:pPr>
        <w:jc w:val="both"/>
      </w:pPr>
      <w:r w:rsidRPr="007D40E9">
        <w:t xml:space="preserve">En permettant l’intervention d’un médiateur et la conclusion d’accords, la loi rend possible l’adoption de solutions pragmatiques, adaptées aux situations individuelles : une entreprise en difficulté n’est pas l’autre, et les difficultés d’une PME, ou d’un commerçant isolé, exerçant son </w:t>
      </w:r>
      <w:r w:rsidRPr="007D40E9">
        <w:lastRenderedPageBreak/>
        <w:t>activité en personne physique, ne commandent pas nécessairement les mêmes solutions que celles d’une grande société qui fait appel à de nombreux travailleurs.</w:t>
      </w:r>
    </w:p>
    <w:p w14:paraId="0693B93C" w14:textId="77777777" w:rsidR="007D40E9" w:rsidRPr="007D40E9" w:rsidRDefault="007D40E9" w:rsidP="007D40E9">
      <w:pPr>
        <w:jc w:val="both"/>
      </w:pPr>
    </w:p>
    <w:p w14:paraId="0693B93D" w14:textId="77777777" w:rsidR="007D40E9" w:rsidRPr="007D40E9" w:rsidRDefault="007D40E9" w:rsidP="007D40E9">
      <w:pPr>
        <w:jc w:val="both"/>
      </w:pPr>
      <w:r w:rsidRPr="007D40E9">
        <w:t>Mais la loi n’est pas tout : il importe maintenant que les acteurs de terrain retroussent leurs manches et utilisent les nouvelles normes à des fins constructives.</w:t>
      </w:r>
    </w:p>
    <w:p w14:paraId="0693B93E" w14:textId="77777777" w:rsidR="007D40E9" w:rsidRPr="007D40E9" w:rsidRDefault="007D40E9" w:rsidP="007D40E9">
      <w:pPr>
        <w:jc w:val="both"/>
      </w:pPr>
    </w:p>
    <w:p w14:paraId="0693B93F" w14:textId="77777777" w:rsidR="007D40E9" w:rsidRPr="007D40E9" w:rsidRDefault="007D40E9" w:rsidP="007D40E9">
      <w:pPr>
        <w:jc w:val="both"/>
      </w:pPr>
    </w:p>
    <w:p w14:paraId="0693B940" w14:textId="77777777" w:rsidR="007D40E9" w:rsidRPr="007D40E9" w:rsidRDefault="007D40E9" w:rsidP="007D40E9">
      <w:pPr>
        <w:jc w:val="both"/>
      </w:pPr>
    </w:p>
    <w:p w14:paraId="0693B941" w14:textId="77777777" w:rsidR="007D40E9" w:rsidRPr="007D40E9" w:rsidRDefault="007D40E9" w:rsidP="007D40E9">
      <w:pPr>
        <w:jc w:val="right"/>
        <w:rPr>
          <w:b/>
          <w:i/>
        </w:rPr>
      </w:pPr>
      <w:r w:rsidRPr="007D40E9">
        <w:rPr>
          <w:b/>
          <w:i/>
        </w:rPr>
        <w:t>Michel FORGES</w:t>
      </w:r>
    </w:p>
    <w:p w14:paraId="0693B942" w14:textId="77777777" w:rsidR="007D40E9" w:rsidRPr="007D40E9" w:rsidRDefault="007D40E9" w:rsidP="007D40E9">
      <w:pPr>
        <w:jc w:val="right"/>
        <w:rPr>
          <w:i/>
        </w:rPr>
      </w:pPr>
      <w:r w:rsidRPr="007D40E9">
        <w:rPr>
          <w:i/>
        </w:rPr>
        <w:t>Avocat spécialiste en droit des saisies et des sûretés</w:t>
      </w:r>
    </w:p>
    <w:p w14:paraId="0693B943" w14:textId="77777777" w:rsidR="007D40E9" w:rsidRPr="007D40E9" w:rsidRDefault="007D40E9" w:rsidP="007D40E9">
      <w:pPr>
        <w:jc w:val="right"/>
        <w:rPr>
          <w:i/>
        </w:rPr>
      </w:pPr>
      <w:r w:rsidRPr="007D40E9">
        <w:rPr>
          <w:i/>
        </w:rPr>
        <w:t>Médiateur civil et commercial agréé</w:t>
      </w:r>
    </w:p>
    <w:p w14:paraId="0693B944" w14:textId="77777777" w:rsidR="007D40E9" w:rsidRPr="007D40E9" w:rsidRDefault="007D40E9" w:rsidP="007D40E9">
      <w:pPr>
        <w:jc w:val="right"/>
        <w:rPr>
          <w:i/>
        </w:rPr>
      </w:pPr>
      <w:r w:rsidRPr="007D40E9">
        <w:rPr>
          <w:i/>
        </w:rPr>
        <w:t>Chargé d’enseignement à l’Université de Mons</w:t>
      </w:r>
    </w:p>
    <w:p w14:paraId="0693B945" w14:textId="77777777" w:rsidR="007D40E9" w:rsidRPr="007D40E9" w:rsidRDefault="007D40E9" w:rsidP="007D40E9">
      <w:pPr>
        <w:jc w:val="right"/>
        <w:rPr>
          <w:i/>
        </w:rPr>
      </w:pPr>
      <w:r w:rsidRPr="007D40E9">
        <w:rPr>
          <w:i/>
        </w:rPr>
        <w:t>Juge suppléant au Tribunal de commerce de Bruxelles</w:t>
      </w:r>
    </w:p>
    <w:p w14:paraId="0693B946" w14:textId="77777777" w:rsidR="007D40E9" w:rsidRPr="007D40E9" w:rsidRDefault="007D40E9" w:rsidP="007D40E9">
      <w:pPr>
        <w:jc w:val="right"/>
        <w:rPr>
          <w:i/>
        </w:rPr>
      </w:pPr>
    </w:p>
    <w:p w14:paraId="0693B947" w14:textId="77777777" w:rsidR="007D40E9" w:rsidRPr="007D40E9" w:rsidRDefault="007D40E9" w:rsidP="007D40E9">
      <w:pPr>
        <w:jc w:val="right"/>
        <w:rPr>
          <w:b/>
          <w:i/>
        </w:rPr>
      </w:pPr>
      <w:r w:rsidRPr="007D40E9">
        <w:rPr>
          <w:b/>
          <w:i/>
        </w:rPr>
        <w:t>FABER INTER - LAW FIRM</w:t>
      </w:r>
    </w:p>
    <w:p w14:paraId="0693B948" w14:textId="77777777" w:rsidR="004C64BF" w:rsidRDefault="004C64BF" w:rsidP="006F75CE">
      <w:pPr>
        <w:pStyle w:val="StyleAprs14pt"/>
      </w:pPr>
      <w:r>
        <w:br/>
      </w:r>
    </w:p>
    <w:bookmarkStart w:id="439" w:name="Faillite_document_mis_jour_tro"/>
    <w:bookmarkStart w:id="440" w:name="Concordat_judiciaire_267580165"/>
    <w:bookmarkStart w:id="441" w:name="Loi_sur_la_continuit_de_l_entr_434021743"/>
    <w:bookmarkEnd w:id="439"/>
    <w:bookmarkEnd w:id="440"/>
    <w:bookmarkEnd w:id="441"/>
    <w:p w14:paraId="0693B949" w14:textId="77777777" w:rsidR="004C64BF" w:rsidRDefault="0041495B" w:rsidP="00772723">
      <w:pPr>
        <w:pStyle w:val="Titre2"/>
      </w:pPr>
      <w:r>
        <w:fldChar w:fldCharType="begin"/>
      </w:r>
      <w:r w:rsidR="004C64BF">
        <w:instrText xml:space="preserve"> HYPERLINK "http://www.erickirsch.be/ledrco/continuite_entreprise.pdf" </w:instrText>
      </w:r>
      <w:r>
        <w:fldChar w:fldCharType="separate"/>
      </w:r>
      <w:bookmarkStart w:id="442" w:name="cha9"/>
      <w:bookmarkStart w:id="443" w:name="_Toc482815707"/>
      <w:r w:rsidR="004C64BF">
        <w:rPr>
          <w:color w:val="0000FF"/>
        </w:rPr>
        <w:t>Loi sur la continuité de l'entreprise</w:t>
      </w:r>
      <w:bookmarkEnd w:id="443"/>
      <w:r>
        <w:fldChar w:fldCharType="end"/>
      </w:r>
      <w:bookmarkEnd w:id="442"/>
      <w:r w:rsidR="004C64BF">
        <w:t xml:space="preserve"> </w:t>
      </w:r>
    </w:p>
    <w:p w14:paraId="0693B94A" w14:textId="77777777" w:rsidR="004C64BF" w:rsidRDefault="009566D2" w:rsidP="006F75CE">
      <w:pPr>
        <w:pStyle w:val="StyleAprs14pt"/>
      </w:pPr>
      <w:r>
        <w:t xml:space="preserve">Voir cours oral et carte mentale associée sur </w:t>
      </w:r>
      <w:hyperlink r:id="rId158" w:history="1">
        <w:r w:rsidRPr="006E788C">
          <w:rPr>
            <w:rStyle w:val="Lienhypertexte"/>
          </w:rPr>
          <w:t>http://kirsch.c.la</w:t>
        </w:r>
      </w:hyperlink>
      <w:r>
        <w:t>.</w:t>
      </w:r>
    </w:p>
    <w:p w14:paraId="0693B94B" w14:textId="77777777" w:rsidR="00462129" w:rsidRDefault="00462129" w:rsidP="006F75CE">
      <w:pPr>
        <w:pStyle w:val="StyleAprs14pt"/>
      </w:pPr>
      <w:r>
        <w:t>Avec la contribution de M</w:t>
      </w:r>
      <w:r w:rsidRPr="00462129">
        <w:rPr>
          <w:vertAlign w:val="superscript"/>
        </w:rPr>
        <w:t>lle</w:t>
      </w:r>
      <w:r>
        <w:t xml:space="preserve"> </w:t>
      </w:r>
      <w:r w:rsidRPr="00462129">
        <w:t xml:space="preserve">Tatiana </w:t>
      </w:r>
      <w:r w:rsidRPr="00462129">
        <w:rPr>
          <w:caps/>
        </w:rPr>
        <w:t>Arkhipova</w:t>
      </w:r>
      <w:r>
        <w:t>.</w:t>
      </w:r>
    </w:p>
    <w:p w14:paraId="0693B94C" w14:textId="77777777" w:rsidR="00D96E87" w:rsidRDefault="00D96E87" w:rsidP="00D96E87">
      <w:pPr>
        <w:pStyle w:val="Titre3"/>
      </w:pPr>
      <w:bookmarkStart w:id="444" w:name="_Toc482815708"/>
      <w:r>
        <w:t>Dispositions générales</w:t>
      </w:r>
      <w:bookmarkEnd w:id="444"/>
      <w:r>
        <w:t xml:space="preserve"> </w:t>
      </w:r>
    </w:p>
    <w:p w14:paraId="0693B94D" w14:textId="77777777" w:rsidR="00D96E87" w:rsidRDefault="00D96E87" w:rsidP="001F7D23">
      <w:pPr>
        <w:pStyle w:val="Titre4"/>
      </w:pPr>
      <w:r>
        <w:t xml:space="preserve">A1 : cf. A78 Constitution (droit de saisine du Sénat) ==&gt; amendé par le Sénat </w:t>
      </w:r>
    </w:p>
    <w:p w14:paraId="0693B94E" w14:textId="77777777" w:rsidR="00D96E87" w:rsidRDefault="00D96E87" w:rsidP="001F7D23">
      <w:pPr>
        <w:pStyle w:val="Titre4"/>
      </w:pPr>
      <w:r>
        <w:t xml:space="preserve">A2 : définitions </w:t>
      </w:r>
    </w:p>
    <w:p w14:paraId="0693B94F" w14:textId="77777777" w:rsidR="00D96E87" w:rsidRPr="00D96E87" w:rsidRDefault="00105A84" w:rsidP="0086187F">
      <w:pPr>
        <w:pStyle w:val="NormalWeb"/>
        <w:numPr>
          <w:ilvl w:val="0"/>
          <w:numId w:val="41"/>
        </w:numPr>
        <w:spacing w:before="0" w:beforeAutospacing="0" w:after="0" w:afterAutospacing="0"/>
        <w:rPr>
          <w:sz w:val="20"/>
          <w:szCs w:val="20"/>
        </w:rPr>
      </w:pPr>
      <w:hyperlink r:id="rId159" w:tgtFrame="_blank" w:history="1">
        <w:r w:rsidR="00D96E87" w:rsidRPr="00D96E87">
          <w:rPr>
            <w:rStyle w:val="Lienhypertexte"/>
            <w:rFonts w:ascii="Arial" w:hAnsi="Arial" w:cs="Arial"/>
            <w:color w:val="990000"/>
            <w:sz w:val="20"/>
            <w:szCs w:val="20"/>
          </w:rPr>
          <w:t>système d'information Phénix</w:t>
        </w:r>
        <w:r w:rsidR="00D96E87" w:rsidRPr="00D96E87">
          <w:rPr>
            <w:rStyle w:val="Lienhypertexte"/>
            <w:sz w:val="20"/>
            <w:szCs w:val="20"/>
          </w:rPr>
          <w:t xml:space="preserve"> </w:t>
        </w:r>
      </w:hyperlink>
    </w:p>
    <w:p w14:paraId="0693B950" w14:textId="77777777" w:rsidR="00D96E87" w:rsidRDefault="00D96E87" w:rsidP="0086187F">
      <w:pPr>
        <w:numPr>
          <w:ilvl w:val="1"/>
          <w:numId w:val="41"/>
        </w:numPr>
      </w:pPr>
      <w:r>
        <w:rPr>
          <w:color w:val="111111"/>
        </w:rPr>
        <w:t>Comité de Surveillance</w:t>
      </w:r>
      <w:r>
        <w:t xml:space="preserve"> </w:t>
      </w:r>
    </w:p>
    <w:p w14:paraId="0693B951" w14:textId="77777777" w:rsidR="00D96E87" w:rsidRDefault="00D96E87" w:rsidP="0086187F">
      <w:pPr>
        <w:numPr>
          <w:ilvl w:val="1"/>
          <w:numId w:val="41"/>
        </w:numPr>
      </w:pPr>
      <w:r>
        <w:rPr>
          <w:color w:val="111111"/>
        </w:rPr>
        <w:t>Comité de Gestion</w:t>
      </w:r>
      <w:r>
        <w:t xml:space="preserve"> </w:t>
      </w:r>
    </w:p>
    <w:p w14:paraId="0693B952"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créances sursitaires (nées avant le jugement) </w:t>
      </w:r>
    </w:p>
    <w:p w14:paraId="0693B953" w14:textId="77777777" w:rsidR="00D96E87" w:rsidRPr="00D96E87" w:rsidRDefault="00D96E87" w:rsidP="0086187F">
      <w:pPr>
        <w:numPr>
          <w:ilvl w:val="1"/>
          <w:numId w:val="41"/>
        </w:numPr>
        <w:rPr>
          <w:color w:val="111111"/>
        </w:rPr>
      </w:pPr>
      <w:r>
        <w:rPr>
          <w:color w:val="111111"/>
        </w:rPr>
        <w:t>créances sursitaires ordinaires (nées avant le jugement mais sans privilège)</w:t>
      </w:r>
      <w:r w:rsidRPr="00D96E87">
        <w:rPr>
          <w:color w:val="111111"/>
        </w:rPr>
        <w:t xml:space="preserve"> </w:t>
      </w:r>
    </w:p>
    <w:p w14:paraId="0693B954" w14:textId="77777777" w:rsidR="00D96E87" w:rsidRDefault="00D96E87" w:rsidP="0086187F">
      <w:pPr>
        <w:numPr>
          <w:ilvl w:val="1"/>
          <w:numId w:val="41"/>
        </w:numPr>
      </w:pPr>
      <w:r>
        <w:rPr>
          <w:color w:val="111111"/>
        </w:rPr>
        <w:t>créances sursitaires extraordinaires (nées avant le jugement mais assorties d'un privilège)</w:t>
      </w:r>
      <w:r>
        <w:t xml:space="preserve"> </w:t>
      </w:r>
    </w:p>
    <w:p w14:paraId="0693B955" w14:textId="77777777" w:rsidR="00D96E87" w:rsidRPr="00D96E87" w:rsidRDefault="00B35E27" w:rsidP="0086187F">
      <w:pPr>
        <w:pStyle w:val="NormalWeb"/>
        <w:numPr>
          <w:ilvl w:val="0"/>
          <w:numId w:val="41"/>
        </w:numPr>
        <w:spacing w:before="0" w:beforeAutospacing="0" w:after="0" w:afterAutospacing="0"/>
        <w:rPr>
          <w:rStyle w:val="foldclosed"/>
          <w:sz w:val="20"/>
          <w:szCs w:val="20"/>
        </w:rPr>
      </w:pPr>
      <w:r>
        <w:rPr>
          <w:rStyle w:val="foldclosed"/>
          <w:sz w:val="20"/>
          <w:szCs w:val="20"/>
        </w:rPr>
        <w:t>créancier-propriétaire</w:t>
      </w:r>
      <w:r w:rsidR="00D96E87" w:rsidRPr="00D96E87">
        <w:rPr>
          <w:rStyle w:val="foldclosed"/>
          <w:sz w:val="20"/>
          <w:szCs w:val="20"/>
        </w:rPr>
        <w:t xml:space="preserve">personne titulaire d'une créance sursitaire et propriétaire d'un bien meuble corporel qui n'est pas en sa possession et qui fait office de garantie) </w:t>
      </w:r>
    </w:p>
    <w:p w14:paraId="0693B956"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créanciers </w:t>
      </w:r>
    </w:p>
    <w:p w14:paraId="0693B957" w14:textId="77777777" w:rsidR="00D96E87" w:rsidRPr="00D96E87" w:rsidRDefault="00D96E87" w:rsidP="0086187F">
      <w:pPr>
        <w:numPr>
          <w:ilvl w:val="1"/>
          <w:numId w:val="41"/>
        </w:numPr>
        <w:rPr>
          <w:color w:val="111111"/>
        </w:rPr>
      </w:pPr>
      <w:r>
        <w:rPr>
          <w:color w:val="111111"/>
        </w:rPr>
        <w:t>créancier sursitaire ordinaire</w:t>
      </w:r>
      <w:r w:rsidRPr="00D96E87">
        <w:rPr>
          <w:color w:val="111111"/>
        </w:rPr>
        <w:t xml:space="preserve"> </w:t>
      </w:r>
    </w:p>
    <w:p w14:paraId="0693B958" w14:textId="77777777" w:rsidR="00D96E87" w:rsidRPr="00D96E87" w:rsidRDefault="00D96E87" w:rsidP="0086187F">
      <w:pPr>
        <w:numPr>
          <w:ilvl w:val="1"/>
          <w:numId w:val="41"/>
        </w:numPr>
        <w:rPr>
          <w:color w:val="111111"/>
        </w:rPr>
      </w:pPr>
      <w:r>
        <w:rPr>
          <w:color w:val="111111"/>
        </w:rPr>
        <w:t>créancier sursitaire extraordinaire</w:t>
      </w:r>
      <w:r w:rsidRPr="00D96E87">
        <w:rPr>
          <w:color w:val="111111"/>
        </w:rPr>
        <w:t xml:space="preserve"> </w:t>
      </w:r>
    </w:p>
    <w:p w14:paraId="0693B959"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adresses </w:t>
      </w:r>
    </w:p>
    <w:p w14:paraId="0693B95A" w14:textId="77777777" w:rsidR="00D96E87" w:rsidRPr="00D96E87" w:rsidRDefault="00D96E87" w:rsidP="0086187F">
      <w:pPr>
        <w:numPr>
          <w:ilvl w:val="1"/>
          <w:numId w:val="41"/>
        </w:numPr>
        <w:rPr>
          <w:color w:val="111111"/>
        </w:rPr>
      </w:pPr>
      <w:r>
        <w:rPr>
          <w:color w:val="111111"/>
        </w:rPr>
        <w:t>établissement principal (centre des intérêts principaux de la personne physique)</w:t>
      </w:r>
      <w:r w:rsidRPr="00D96E87">
        <w:rPr>
          <w:color w:val="111111"/>
        </w:rPr>
        <w:t xml:space="preserve"> </w:t>
      </w:r>
    </w:p>
    <w:p w14:paraId="0693B95B" w14:textId="77777777" w:rsidR="00D96E87" w:rsidRPr="00D96E87" w:rsidRDefault="00D96E87" w:rsidP="0086187F">
      <w:pPr>
        <w:numPr>
          <w:ilvl w:val="1"/>
          <w:numId w:val="41"/>
        </w:numPr>
        <w:rPr>
          <w:color w:val="111111"/>
        </w:rPr>
      </w:pPr>
      <w:r>
        <w:rPr>
          <w:color w:val="111111"/>
        </w:rPr>
        <w:t>siège social (siège statutaire)</w:t>
      </w:r>
      <w:r w:rsidRPr="00D96E87">
        <w:rPr>
          <w:color w:val="111111"/>
        </w:rPr>
        <w:t xml:space="preserve"> </w:t>
      </w:r>
    </w:p>
    <w:p w14:paraId="0693B95C"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ouverture de la procédure (jugement déclarant ouverte la procédure de réorganisation) </w:t>
      </w:r>
    </w:p>
    <w:p w14:paraId="0693B95D"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plan de réorganisation (plan établi par le débiteur au cours du sursis) </w:t>
      </w:r>
    </w:p>
    <w:p w14:paraId="0693B95E"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signification (remise d'un acte par voie électronique ou matérielle) = avertissement </w:t>
      </w:r>
    </w:p>
    <w:p w14:paraId="0693B95F"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notification (cf. droit civil) = recommandé ou huissier </w:t>
      </w:r>
    </w:p>
    <w:p w14:paraId="0693B960"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sursis (moratoire accordé par le tribunal au débiteur) </w:t>
      </w:r>
    </w:p>
    <w:p w14:paraId="0693B961"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tribunal (tribunal de commerce compétent) </w:t>
      </w:r>
    </w:p>
    <w:p w14:paraId="0693B962" w14:textId="77777777" w:rsidR="00D96E87" w:rsidRDefault="00D96E87" w:rsidP="001F7D23">
      <w:pPr>
        <w:pStyle w:val="Titre4"/>
      </w:pPr>
      <w:r w:rsidRPr="00D96E87">
        <w:lastRenderedPageBreak/>
        <w:t>A3 &amp; A4 : qui est concerné ?</w:t>
      </w:r>
      <w:r>
        <w:t xml:space="preserve"> </w:t>
      </w:r>
    </w:p>
    <w:p w14:paraId="0693B963"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commerçants </w:t>
      </w:r>
    </w:p>
    <w:p w14:paraId="0693B964"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sociétés agricoles </w:t>
      </w:r>
    </w:p>
    <w:p w14:paraId="0693B965"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sociétés civiles commerciales (sauf professions libérales - A4) </w:t>
      </w:r>
    </w:p>
    <w:p w14:paraId="0693B966" w14:textId="77777777" w:rsidR="00D96E87" w:rsidRDefault="00D96E87" w:rsidP="001F7D23">
      <w:pPr>
        <w:pStyle w:val="Titre4"/>
      </w:pPr>
      <w:r w:rsidRPr="00D96E87">
        <w:t>A5 : toutes les décisions du tribunal sont exécutoires par provision</w:t>
      </w:r>
      <w:r>
        <w:t xml:space="preserve"> </w:t>
      </w:r>
    </w:p>
    <w:p w14:paraId="0693B967"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 exécutables “ sans attendre que soit écoulé le délai prévu pour faire opposition ou interjeter appel et même si un recours en opposition a été formé ou un recours en appel interjeté ” (Presse &amp; Justice, http://www.presse-justice.be, 17/02/2011) </w:t>
      </w:r>
    </w:p>
    <w:p w14:paraId="0693B968" w14:textId="77777777" w:rsidR="00D96E87" w:rsidRDefault="00D96E87" w:rsidP="001F7D23">
      <w:pPr>
        <w:pStyle w:val="Titre4"/>
      </w:pPr>
      <w:r w:rsidRPr="00D96E87">
        <w:t>A6 : notification (toujours par huissier)</w:t>
      </w:r>
      <w:r>
        <w:t xml:space="preserve"> </w:t>
      </w:r>
    </w:p>
    <w:p w14:paraId="0693B969"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par pli judiciaire </w:t>
      </w:r>
    </w:p>
    <w:p w14:paraId="0693B96A"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publication au Moniteur </w:t>
      </w:r>
    </w:p>
    <w:p w14:paraId="0693B96B"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par courrier ordinaire ou électronique (mais alors à l'adresse e-mail judiciaire) </w:t>
      </w:r>
    </w:p>
    <w:p w14:paraId="0693B96C" w14:textId="77777777" w:rsidR="00D96E87" w:rsidRPr="00D96E87" w:rsidRDefault="00D96E87" w:rsidP="0086187F">
      <w:pPr>
        <w:pStyle w:val="NormalWeb"/>
        <w:numPr>
          <w:ilvl w:val="0"/>
          <w:numId w:val="41"/>
        </w:numPr>
        <w:spacing w:before="0" w:beforeAutospacing="0" w:after="0" w:afterAutospacing="0"/>
        <w:rPr>
          <w:rStyle w:val="foldclosed"/>
          <w:sz w:val="20"/>
          <w:szCs w:val="20"/>
        </w:rPr>
      </w:pPr>
      <w:r w:rsidRPr="00D96E87">
        <w:rPr>
          <w:rStyle w:val="foldclosed"/>
          <w:sz w:val="20"/>
          <w:szCs w:val="20"/>
        </w:rPr>
        <w:t xml:space="preserve">par fax </w:t>
      </w:r>
    </w:p>
    <w:p w14:paraId="0693B96D" w14:textId="77777777" w:rsidR="00D96E87" w:rsidRDefault="00D96E87" w:rsidP="001F7D23">
      <w:pPr>
        <w:pStyle w:val="Titre4"/>
      </w:pPr>
      <w:r w:rsidRPr="00D96E87">
        <w:t>A7 : pas d'effet rétroactif, sauf mention contraire</w:t>
      </w:r>
      <w:r>
        <w:t xml:space="preserve"> </w:t>
      </w:r>
    </w:p>
    <w:p w14:paraId="0693B96E" w14:textId="77777777" w:rsidR="00D96E87" w:rsidRDefault="00D96E87" w:rsidP="00D96E87">
      <w:pPr>
        <w:pStyle w:val="Titre3"/>
        <w:numPr>
          <w:ilvl w:val="2"/>
          <w:numId w:val="1"/>
        </w:numPr>
      </w:pPr>
      <w:bookmarkStart w:id="445" w:name="_Toc482815709"/>
      <w:r w:rsidRPr="00D96E87">
        <w:t>Collecte des données et enquêtes commerciales</w:t>
      </w:r>
      <w:bookmarkEnd w:id="445"/>
    </w:p>
    <w:p w14:paraId="0693B96F" w14:textId="77777777" w:rsidR="00D96E87" w:rsidRDefault="00D96E87" w:rsidP="001F7D23">
      <w:pPr>
        <w:pStyle w:val="Titre4"/>
      </w:pPr>
      <w:r>
        <w:t>Collecte des données</w:t>
      </w:r>
    </w:p>
    <w:p w14:paraId="0693B970" w14:textId="77777777" w:rsidR="003D56E2" w:rsidRPr="003D56E2" w:rsidRDefault="003D56E2" w:rsidP="003D56E2">
      <w:pPr>
        <w:jc w:val="both"/>
      </w:pPr>
      <w:r w:rsidRPr="003D56E2">
        <w:rPr>
          <w:b/>
        </w:rPr>
        <w:t>Article 8</w:t>
      </w:r>
      <w:r w:rsidRPr="003D56E2">
        <w:t> : Les informations de la société en état de faillite sont gérées par le greffe. Le failli et le Procureur du Roi ont accès à cette base de données. Rectifications possibles par le failli. Certaines données peuvent être transmises  à des organismes officiels qui aident les entreprises en difficulté.</w:t>
      </w:r>
    </w:p>
    <w:p w14:paraId="0693B971" w14:textId="77777777" w:rsidR="003D56E2" w:rsidRPr="003D56E2" w:rsidRDefault="003D56E2" w:rsidP="003D56E2">
      <w:pPr>
        <w:spacing w:before="240"/>
        <w:jc w:val="both"/>
      </w:pPr>
      <w:r w:rsidRPr="003D56E2">
        <w:rPr>
          <w:b/>
        </w:rPr>
        <w:t>Article 9</w:t>
      </w:r>
      <w:r w:rsidRPr="003D56E2">
        <w:t> : Cette base de données est confrontée aux fichiers des effets impayés (c.b. dépositoire central).</w:t>
      </w:r>
    </w:p>
    <w:p w14:paraId="0693B972" w14:textId="77777777" w:rsidR="003D56E2" w:rsidRPr="003D56E2" w:rsidRDefault="003D56E2" w:rsidP="003D56E2">
      <w:pPr>
        <w:spacing w:before="240"/>
        <w:jc w:val="both"/>
      </w:pPr>
      <w:r w:rsidRPr="003D56E2">
        <w:rPr>
          <w:b/>
        </w:rPr>
        <w:t>Articles 10</w:t>
      </w:r>
      <w:r w:rsidRPr="003D56E2">
        <w:t> : Tous les jugements d’affaire reliés à la faillite sont (centralisés) transmis au greffe qui gère la faillite. Le passage suivant de l’article est la même chose que le passage précédant.</w:t>
      </w:r>
    </w:p>
    <w:p w14:paraId="0693B973" w14:textId="77777777" w:rsidR="003D56E2" w:rsidRPr="003D56E2" w:rsidRDefault="003D56E2" w:rsidP="003D56E2">
      <w:pPr>
        <w:spacing w:before="240"/>
        <w:jc w:val="both"/>
      </w:pPr>
      <w:r w:rsidRPr="003D56E2">
        <w:t>La sécurité informe le greffe (tous les trimestres) de l’impayé de failli (en état de faillite). Idem pour le S.P.F Finances (TVA et précompte professionnel y compris autre pouvoir public-&gt; voir le gouvernement si concerné la situation financière du failli.</w:t>
      </w:r>
    </w:p>
    <w:p w14:paraId="0693B974" w14:textId="77777777" w:rsidR="003D56E2" w:rsidRPr="003D56E2" w:rsidRDefault="003D56E2" w:rsidP="003D56E2">
      <w:pPr>
        <w:spacing w:before="240"/>
        <w:jc w:val="both"/>
      </w:pPr>
      <w:r w:rsidRPr="003D56E2">
        <w:rPr>
          <w:b/>
        </w:rPr>
        <w:t>Article 11 :</w:t>
      </w:r>
      <w:r w:rsidRPr="003D56E2">
        <w:t xml:space="preserve"> Si la base de données est exploitée (en statistiques) à l’initiative du gouvernement, tous les tribunaux de commerce doivent travailler de la même manière et en toute confidentialité. Tout croisement de la base de données avec d’autres fichiers nécessite un arrêté ministériel. Tout ça nécessite Phénix.</w:t>
      </w:r>
    </w:p>
    <w:p w14:paraId="0693B975" w14:textId="77777777" w:rsidR="003D56E2" w:rsidRPr="003D56E2" w:rsidRDefault="003D56E2" w:rsidP="003D56E2">
      <w:pPr>
        <w:jc w:val="both"/>
      </w:pPr>
      <w:r w:rsidRPr="003D56E2">
        <w:t>!! Phénix doit tenir compte des fichiers impayés et des fichiers centraux des amandes.</w:t>
      </w:r>
    </w:p>
    <w:p w14:paraId="0693B976" w14:textId="77777777" w:rsidR="00D96E87" w:rsidRDefault="00D96E87" w:rsidP="001F7D23">
      <w:pPr>
        <w:pStyle w:val="Titre4"/>
      </w:pPr>
      <w:r>
        <w:t>Chambres d’enquêtes commerciales</w:t>
      </w:r>
    </w:p>
    <w:p w14:paraId="0693B977" w14:textId="77777777" w:rsidR="003D56E2" w:rsidRDefault="003D56E2" w:rsidP="003D56E2">
      <w:pPr>
        <w:jc w:val="both"/>
      </w:pPr>
      <w:r w:rsidRPr="002F5DE5">
        <w:rPr>
          <w:b/>
        </w:rPr>
        <w:t>1°§1 </w:t>
      </w:r>
      <w:r>
        <w:rPr>
          <w:b/>
        </w:rPr>
        <w:t>-</w:t>
      </w:r>
      <w:r w:rsidRPr="002F5DE5">
        <w:rPr>
          <w:b/>
        </w:rPr>
        <w:t xml:space="preserve"> BUT :</w:t>
      </w:r>
      <w:r>
        <w:t xml:space="preserve"> continuité du failli + protection des droits des créanciers. Enquête par juge au tribunal (sauf Président) ou juge consulaire (= spécialiste, ancien juge commissaire), qui peut entendre le </w:t>
      </w:r>
      <w:r>
        <w:lastRenderedPageBreak/>
        <w:t xml:space="preserve">débiteur -&gt;état des affaires et mesures de réorganisation) en cas de situation grave. (Périlleuse) par greffier, à </w:t>
      </w:r>
      <w:r w:rsidR="003A27CD">
        <w:t>huis-</w:t>
      </w:r>
      <w:r>
        <w:t>clos, éventuellement assisté.</w:t>
      </w:r>
    </w:p>
    <w:p w14:paraId="0693B978" w14:textId="77777777" w:rsidR="003D56E2" w:rsidRDefault="003D56E2" w:rsidP="003D56E2">
      <w:pPr>
        <w:jc w:val="both"/>
      </w:pPr>
      <w:r>
        <w:t>Ce juge a tout pouvoir d’investigation y compris se déplacer sur place si le débiteur ne se présente pas après 2 convocations.</w:t>
      </w:r>
    </w:p>
    <w:p w14:paraId="0693B979" w14:textId="77777777" w:rsidR="003D56E2" w:rsidRDefault="003D56E2" w:rsidP="003D56E2">
      <w:pPr>
        <w:jc w:val="both"/>
      </w:pPr>
    </w:p>
    <w:p w14:paraId="0693B97A" w14:textId="77777777" w:rsidR="003D56E2" w:rsidRDefault="003D56E2" w:rsidP="003D56E2">
      <w:pPr>
        <w:jc w:val="both"/>
      </w:pPr>
      <w:r w:rsidRPr="002F5DE5">
        <w:rPr>
          <w:b/>
        </w:rPr>
        <w:t>2°§2</w:t>
      </w:r>
      <w:r>
        <w:t> : Procureur du Roi et le débiteur peuvent consulter le dossier d’enquête à tout moment.</w:t>
      </w:r>
    </w:p>
    <w:p w14:paraId="0693B97B" w14:textId="77777777" w:rsidR="003D56E2" w:rsidRDefault="003D56E2" w:rsidP="003D56E2">
      <w:pPr>
        <w:jc w:val="both"/>
      </w:pPr>
    </w:p>
    <w:p w14:paraId="0693B97C" w14:textId="77777777" w:rsidR="003D56E2" w:rsidRDefault="003D56E2" w:rsidP="003D56E2">
      <w:pPr>
        <w:jc w:val="both"/>
      </w:pPr>
      <w:r w:rsidRPr="002F5DE5">
        <w:rPr>
          <w:b/>
        </w:rPr>
        <w:t>3°§3</w:t>
      </w:r>
      <w:r>
        <w:t> : Voir article 8 (Rappel).</w:t>
      </w:r>
    </w:p>
    <w:p w14:paraId="0693B97D" w14:textId="77777777" w:rsidR="003D56E2" w:rsidRDefault="003D56E2" w:rsidP="003D56E2">
      <w:pPr>
        <w:jc w:val="both"/>
      </w:pPr>
    </w:p>
    <w:p w14:paraId="0693B97E" w14:textId="77777777" w:rsidR="003D56E2" w:rsidRDefault="003D56E2" w:rsidP="003D56E2">
      <w:pPr>
        <w:jc w:val="both"/>
      </w:pPr>
      <w:r w:rsidRPr="002F5DE5">
        <w:rPr>
          <w:b/>
        </w:rPr>
        <w:t>4°§4</w:t>
      </w:r>
      <w:r>
        <w:t> : A la fin de l’enquête, le juge rédige un rapport des opérations et des conclusions qu’on rejoint aux données (Phénix).</w:t>
      </w:r>
    </w:p>
    <w:p w14:paraId="0693B97F" w14:textId="77777777" w:rsidR="003D56E2" w:rsidRDefault="003D56E2" w:rsidP="003D56E2">
      <w:pPr>
        <w:jc w:val="both"/>
      </w:pPr>
    </w:p>
    <w:p w14:paraId="0693B980" w14:textId="77777777" w:rsidR="003D56E2" w:rsidRDefault="003D56E2" w:rsidP="003D56E2">
      <w:pPr>
        <w:jc w:val="both"/>
      </w:pPr>
      <w:r w:rsidRPr="002F5DE5">
        <w:rPr>
          <w:b/>
        </w:rPr>
        <w:t>5°§5</w:t>
      </w:r>
      <w:r>
        <w:t xml:space="preserve"> : Si la faillite avérée, communication du dossier au procureur du Roi. </w:t>
      </w:r>
    </w:p>
    <w:p w14:paraId="0693B981" w14:textId="77777777" w:rsidR="003D56E2" w:rsidRDefault="003D56E2" w:rsidP="003D56E2">
      <w:pPr>
        <w:jc w:val="both"/>
      </w:pPr>
    </w:p>
    <w:p w14:paraId="0693B982" w14:textId="77777777" w:rsidR="003D56E2" w:rsidRPr="00D96E87" w:rsidRDefault="003D56E2" w:rsidP="003D56E2">
      <w:pPr>
        <w:jc w:val="both"/>
      </w:pPr>
      <w:r w:rsidRPr="002F5DE5">
        <w:rPr>
          <w:b/>
        </w:rPr>
        <w:t>6°§6</w:t>
      </w:r>
      <w:r>
        <w:t> : Les enquêteurs doivent garantir leur neutralité vis à vis du débiteur.</w:t>
      </w:r>
    </w:p>
    <w:p w14:paraId="0693B983" w14:textId="77777777" w:rsidR="00D96E87" w:rsidRDefault="00D96E87" w:rsidP="001F7D23">
      <w:pPr>
        <w:pStyle w:val="Titre4"/>
      </w:pPr>
      <w:r>
        <w:t xml:space="preserve"> Mesures conservatoires</w:t>
      </w:r>
    </w:p>
    <w:p w14:paraId="0693B984" w14:textId="77777777" w:rsidR="003D56E2" w:rsidRPr="003D56E2" w:rsidRDefault="003D56E2" w:rsidP="003D56E2">
      <w:pPr>
        <w:jc w:val="both"/>
      </w:pPr>
      <w:r w:rsidRPr="003D56E2">
        <w:rPr>
          <w:b/>
        </w:rPr>
        <w:t>Article 13</w:t>
      </w:r>
      <w:r w:rsidRPr="003D56E2">
        <w:t> : Médiateur  possible (demande orale possible), étendue et durée de la mission fixée par chambre de Conseil (application des peines), fin par médiateur au débiteur.</w:t>
      </w:r>
    </w:p>
    <w:p w14:paraId="0693B985" w14:textId="77777777" w:rsidR="003D56E2" w:rsidRPr="003D56E2" w:rsidRDefault="003D56E2" w:rsidP="003D56E2">
      <w:pPr>
        <w:jc w:val="both"/>
      </w:pPr>
    </w:p>
    <w:p w14:paraId="0693B986" w14:textId="77777777" w:rsidR="003D56E2" w:rsidRPr="003D56E2" w:rsidRDefault="003D56E2" w:rsidP="003D56E2">
      <w:pPr>
        <w:jc w:val="both"/>
      </w:pPr>
    </w:p>
    <w:p w14:paraId="0693B987" w14:textId="77777777" w:rsidR="003D56E2" w:rsidRPr="003D56E2" w:rsidRDefault="003D56E2" w:rsidP="003D56E2">
      <w:pPr>
        <w:jc w:val="both"/>
      </w:pPr>
      <w:r w:rsidRPr="003D56E2">
        <w:rPr>
          <w:b/>
        </w:rPr>
        <w:t>Article14 </w:t>
      </w:r>
      <w:r w:rsidRPr="003D56E2">
        <w:t>: Mandataire(s) de justice possible(s) si le débiteur fait obstacle à la continuité de sa propre entreprise.</w:t>
      </w:r>
    </w:p>
    <w:p w14:paraId="0693B988" w14:textId="77777777" w:rsidR="008F4260" w:rsidRDefault="008F4260" w:rsidP="008F4260">
      <w:pPr>
        <w:pStyle w:val="Titre3"/>
      </w:pPr>
      <w:bookmarkStart w:id="446" w:name="_Toc482815710"/>
      <w:r>
        <w:t>Accord amiable</w:t>
      </w:r>
      <w:bookmarkEnd w:id="446"/>
    </w:p>
    <w:p w14:paraId="0693B989" w14:textId="77777777" w:rsidR="003D56E2" w:rsidRPr="003D56E2" w:rsidRDefault="003D56E2" w:rsidP="003D56E2">
      <w:pPr>
        <w:rPr>
          <w:b/>
        </w:rPr>
      </w:pPr>
      <w:r w:rsidRPr="003D56E2">
        <w:rPr>
          <w:b/>
        </w:rPr>
        <w:t xml:space="preserve">Article15 : </w:t>
      </w:r>
    </w:p>
    <w:p w14:paraId="0693B98A" w14:textId="77777777" w:rsidR="003D56E2" w:rsidRDefault="003D56E2" w:rsidP="003D56E2">
      <w:r>
        <w:t>1°) Accord possible (souhaité) avec au moins deux créanciers. Le but étant de globaliser les créances.</w:t>
      </w:r>
    </w:p>
    <w:p w14:paraId="0693B98B" w14:textId="77777777" w:rsidR="003D56E2" w:rsidRDefault="003D56E2" w:rsidP="003D56E2"/>
    <w:p w14:paraId="0693B98C" w14:textId="77777777" w:rsidR="003D56E2" w:rsidRDefault="003D56E2" w:rsidP="003D56E2">
      <w:r>
        <w:t>2°) Ces accords sont en principe privés sauf accord du débiteur. Le but ce n’est pas aggraver l’état de faillite potentielle.</w:t>
      </w:r>
    </w:p>
    <w:p w14:paraId="0693B98D" w14:textId="77777777" w:rsidR="008F4260" w:rsidRDefault="008F4260" w:rsidP="008F4260">
      <w:pPr>
        <w:pStyle w:val="Titre3"/>
      </w:pPr>
      <w:bookmarkStart w:id="447" w:name="_Toc482815711"/>
      <w:r>
        <w:t>Réorganisation judiciaire</w:t>
      </w:r>
      <w:bookmarkEnd w:id="447"/>
    </w:p>
    <w:p w14:paraId="0693B98E" w14:textId="77777777" w:rsidR="008F4260" w:rsidRDefault="008F4260" w:rsidP="001F7D23">
      <w:pPr>
        <w:pStyle w:val="Titre4"/>
      </w:pPr>
      <w:r>
        <w:t>Dispositions générales</w:t>
      </w:r>
    </w:p>
    <w:p w14:paraId="0693B98F" w14:textId="77777777" w:rsidR="003D56E2" w:rsidRDefault="003D56E2" w:rsidP="003D56E2">
      <w:pPr>
        <w:jc w:val="both"/>
      </w:pPr>
      <w:r>
        <w:t>1°) Objectifs de la procédure (article 16).</w:t>
      </w:r>
    </w:p>
    <w:p w14:paraId="0693B990" w14:textId="77777777" w:rsidR="003D56E2" w:rsidRDefault="003D56E2" w:rsidP="003D56E2">
      <w:pPr>
        <w:jc w:val="both"/>
      </w:pPr>
      <w:r>
        <w:t>Continuité de l’entreprise (en tout ou en partie)</w:t>
      </w:r>
    </w:p>
    <w:p w14:paraId="0693B991" w14:textId="77777777" w:rsidR="003D56E2" w:rsidRDefault="003D56E2" w:rsidP="003D56E2">
      <w:pPr>
        <w:jc w:val="both"/>
      </w:pPr>
      <w:r>
        <w:t>2°) Requête en réorganisation judiciaire et procédure.</w:t>
      </w:r>
    </w:p>
    <w:p w14:paraId="0693B992" w14:textId="77777777" w:rsidR="003D56E2" w:rsidRPr="003D56E2" w:rsidRDefault="003D56E2" w:rsidP="003D56E2">
      <w:pPr>
        <w:spacing w:before="240"/>
        <w:jc w:val="both"/>
      </w:pPr>
      <w:r w:rsidRPr="003D56E2">
        <w:rPr>
          <w:b/>
        </w:rPr>
        <w:t>Article 17</w:t>
      </w:r>
      <w:r w:rsidRPr="003D56E2">
        <w:t> :</w:t>
      </w:r>
    </w:p>
    <w:p w14:paraId="0693B993" w14:textId="77777777" w:rsidR="003D56E2" w:rsidRDefault="003D56E2" w:rsidP="0086187F">
      <w:pPr>
        <w:numPr>
          <w:ilvl w:val="0"/>
          <w:numId w:val="43"/>
        </w:numPr>
        <w:jc w:val="both"/>
      </w:pPr>
      <w:r>
        <w:t>Exposé des faits qui démontrent soit les cessations de paiement sont ébranlement de crédits.</w:t>
      </w:r>
    </w:p>
    <w:p w14:paraId="0693B994" w14:textId="7ACD51A8" w:rsidR="003D56E2" w:rsidRDefault="003D56E2" w:rsidP="0086187F">
      <w:pPr>
        <w:numPr>
          <w:ilvl w:val="0"/>
          <w:numId w:val="43"/>
        </w:numPr>
        <w:jc w:val="both"/>
      </w:pPr>
      <w:r>
        <w:t>Objectifs but + QQQOCCP (les 7 questions : quand ; qui ; quoi ; o</w:t>
      </w:r>
      <w:r w:rsidR="00537EC6">
        <w:t>ù</w:t>
      </w:r>
      <w:r>
        <w:t> ; combien ; comment ; pourquoi).</w:t>
      </w:r>
    </w:p>
    <w:p w14:paraId="0693B995" w14:textId="77777777" w:rsidR="003D56E2" w:rsidRDefault="003D56E2" w:rsidP="0086187F">
      <w:pPr>
        <w:numPr>
          <w:ilvl w:val="0"/>
          <w:numId w:val="43"/>
        </w:numPr>
        <w:jc w:val="both"/>
      </w:pPr>
      <w:r>
        <w:t xml:space="preserve">Email judiciaire demandé en tribunal </w:t>
      </w:r>
    </w:p>
    <w:p w14:paraId="0693B996" w14:textId="5467FCE2" w:rsidR="003D56E2" w:rsidRDefault="003D56E2" w:rsidP="0086187F">
      <w:pPr>
        <w:numPr>
          <w:ilvl w:val="0"/>
          <w:numId w:val="43"/>
        </w:numPr>
        <w:jc w:val="both"/>
      </w:pPr>
      <w:r>
        <w:t>2 derniers comptes annuels (bilan, affectations du final, compte de résultat, tableau des amortissements, PV de l’assemblée générale des actionnaires, balance final</w:t>
      </w:r>
      <w:r w:rsidR="00537EC6">
        <w:t>e</w:t>
      </w:r>
      <w:r>
        <w:t>) -&gt; déposé</w:t>
      </w:r>
      <w:r w:rsidR="00537EC6">
        <w:t>s</w:t>
      </w:r>
      <w:r>
        <w:t xml:space="preserve"> à la Banque nationale.</w:t>
      </w:r>
    </w:p>
    <w:p w14:paraId="0693B997" w14:textId="31C296B7" w:rsidR="003D56E2" w:rsidRDefault="003D56E2" w:rsidP="0086187F">
      <w:pPr>
        <w:numPr>
          <w:ilvl w:val="0"/>
          <w:numId w:val="43"/>
        </w:numPr>
        <w:jc w:val="both"/>
      </w:pPr>
      <w:r>
        <w:t>Prévision des encaissements pendant au moins la durée du sursis souhaité</w:t>
      </w:r>
      <w:r w:rsidR="00537EC6">
        <w:t>e</w:t>
      </w:r>
      <w:r>
        <w:t>.</w:t>
      </w:r>
    </w:p>
    <w:p w14:paraId="0693B998" w14:textId="77777777" w:rsidR="003D56E2" w:rsidRDefault="003D56E2" w:rsidP="0086187F">
      <w:pPr>
        <w:numPr>
          <w:ilvl w:val="0"/>
          <w:numId w:val="43"/>
        </w:numPr>
        <w:jc w:val="both"/>
      </w:pPr>
      <w:r>
        <w:t>Liste des créanciers sursitaires.</w:t>
      </w:r>
    </w:p>
    <w:p w14:paraId="0693B999" w14:textId="77777777" w:rsidR="003D56E2" w:rsidRDefault="003D56E2" w:rsidP="0086187F">
      <w:pPr>
        <w:numPr>
          <w:ilvl w:val="0"/>
          <w:numId w:val="43"/>
        </w:numPr>
        <w:jc w:val="both"/>
      </w:pPr>
      <w:r>
        <w:lastRenderedPageBreak/>
        <w:t>Eventuel plan de redressement (plan social = plan de société) -&gt; rentabilité (bénéfice (vente – achat)/ achats et solvabilité (rapport entre les dettes et par classe ((3)+ (40) + (50)).</w:t>
      </w:r>
    </w:p>
    <w:p w14:paraId="0693B99A" w14:textId="13548120" w:rsidR="003D56E2" w:rsidRDefault="003D56E2" w:rsidP="0086187F">
      <w:pPr>
        <w:numPr>
          <w:ilvl w:val="0"/>
          <w:numId w:val="43"/>
        </w:numPr>
        <w:jc w:val="both"/>
      </w:pPr>
      <w:r>
        <w:t>Prouver du respect des lois sur l’information aux travailleurs.</w:t>
      </w:r>
    </w:p>
    <w:p w14:paraId="0693B99B" w14:textId="111CA78D" w:rsidR="003D56E2" w:rsidRDefault="003D56E2" w:rsidP="0086187F">
      <w:pPr>
        <w:numPr>
          <w:ilvl w:val="0"/>
          <w:numId w:val="43"/>
        </w:numPr>
        <w:jc w:val="both"/>
      </w:pPr>
      <w:r>
        <w:t>Divers</w:t>
      </w:r>
      <w:r w:rsidR="00537EC6">
        <w:t>es</w:t>
      </w:r>
      <w:r>
        <w:t xml:space="preserve"> preuves</w:t>
      </w:r>
    </w:p>
    <w:p w14:paraId="0693B99C" w14:textId="77777777" w:rsidR="003D56E2" w:rsidRDefault="003D56E2" w:rsidP="003D56E2">
      <w:pPr>
        <w:jc w:val="both"/>
      </w:pPr>
    </w:p>
    <w:p w14:paraId="0693B99D" w14:textId="77777777" w:rsidR="003D56E2" w:rsidRDefault="003D56E2" w:rsidP="0086187F">
      <w:pPr>
        <w:numPr>
          <w:ilvl w:val="0"/>
          <w:numId w:val="44"/>
        </w:numPr>
        <w:jc w:val="both"/>
      </w:pPr>
      <w:r>
        <w:t>dépôt au greffe et avis au Procureur du Roi par le greffe dans les 24h.</w:t>
      </w:r>
    </w:p>
    <w:p w14:paraId="0693B99E" w14:textId="77777777" w:rsidR="003D56E2" w:rsidRDefault="003D56E2" w:rsidP="0086187F">
      <w:pPr>
        <w:numPr>
          <w:ilvl w:val="0"/>
          <w:numId w:val="44"/>
        </w:numPr>
        <w:jc w:val="both"/>
      </w:pPr>
      <w:r>
        <w:t>Rapport d’enquête commerciale peut être joint.</w:t>
      </w:r>
    </w:p>
    <w:p w14:paraId="0693B99F" w14:textId="77777777" w:rsidR="003D56E2" w:rsidRDefault="003D56E2" w:rsidP="003D56E2">
      <w:pPr>
        <w:jc w:val="both"/>
      </w:pPr>
    </w:p>
    <w:p w14:paraId="0693B9A0" w14:textId="77777777" w:rsidR="003D56E2" w:rsidRPr="003D56E2" w:rsidRDefault="003D56E2" w:rsidP="003D56E2">
      <w:pPr>
        <w:jc w:val="both"/>
        <w:rPr>
          <w:b/>
        </w:rPr>
      </w:pPr>
      <w:r w:rsidRPr="003D56E2">
        <w:rPr>
          <w:b/>
        </w:rPr>
        <w:t>Article 18 :</w:t>
      </w:r>
    </w:p>
    <w:p w14:paraId="0693B9A1" w14:textId="77777777" w:rsidR="003D56E2" w:rsidRDefault="003D56E2" w:rsidP="0086187F">
      <w:pPr>
        <w:numPr>
          <w:ilvl w:val="0"/>
          <w:numId w:val="45"/>
        </w:numPr>
        <w:jc w:val="both"/>
      </w:pPr>
      <w:r>
        <w:t>Juge délégué pour statuer sur la recevabilité de la demande.</w:t>
      </w:r>
    </w:p>
    <w:p w14:paraId="0693B9A2" w14:textId="77777777" w:rsidR="003D56E2" w:rsidRDefault="003D56E2" w:rsidP="0086187F">
      <w:pPr>
        <w:numPr>
          <w:ilvl w:val="0"/>
          <w:numId w:val="45"/>
        </w:numPr>
        <w:jc w:val="both"/>
      </w:pPr>
      <w:r>
        <w:t>Auditions possibles (en cas de doute).</w:t>
      </w:r>
    </w:p>
    <w:p w14:paraId="0693B9A3" w14:textId="77777777" w:rsidR="003D56E2" w:rsidRDefault="003D56E2" w:rsidP="003D56E2">
      <w:pPr>
        <w:jc w:val="both"/>
      </w:pPr>
    </w:p>
    <w:p w14:paraId="0693B9A4" w14:textId="77777777" w:rsidR="003D56E2" w:rsidRPr="003D56E2" w:rsidRDefault="003D56E2" w:rsidP="003D56E2">
      <w:pPr>
        <w:jc w:val="both"/>
        <w:rPr>
          <w:b/>
        </w:rPr>
      </w:pPr>
      <w:r w:rsidRPr="003D56E2">
        <w:rPr>
          <w:b/>
        </w:rPr>
        <w:t xml:space="preserve">Article 19 : </w:t>
      </w:r>
    </w:p>
    <w:p w14:paraId="0693B9A5" w14:textId="77777777" w:rsidR="003D56E2" w:rsidRDefault="003D56E2" w:rsidP="0086187F">
      <w:pPr>
        <w:numPr>
          <w:ilvl w:val="0"/>
          <w:numId w:val="46"/>
        </w:numPr>
        <w:jc w:val="both"/>
      </w:pPr>
      <w:r>
        <w:t>Obligation de tenir le tribunal informé de la situation du débiteur.</w:t>
      </w:r>
    </w:p>
    <w:p w14:paraId="0693B9A6" w14:textId="77777777" w:rsidR="0018347A" w:rsidRDefault="0018347A" w:rsidP="00244308">
      <w:pPr>
        <w:spacing w:before="240"/>
        <w:jc w:val="both"/>
      </w:pPr>
      <w:r w:rsidRPr="008B4CA5">
        <w:rPr>
          <w:b/>
        </w:rPr>
        <w:t>A20 :</w:t>
      </w:r>
      <w:r>
        <w:t xml:space="preserve"> </w:t>
      </w:r>
      <w:r w:rsidR="008D340E">
        <w:t>Toute personne intéressée et qui le justifie peut consulter le dossier. Toute créance déposée au dossier interrompt la prescription de celle-ci. Le dossier est accessible de manière électronique sous certaines conditions.</w:t>
      </w:r>
    </w:p>
    <w:p w14:paraId="0693B9A7" w14:textId="77777777" w:rsidR="008D340E" w:rsidRDefault="008D340E" w:rsidP="00244308">
      <w:pPr>
        <w:spacing w:before="240"/>
        <w:jc w:val="both"/>
      </w:pPr>
      <w:r w:rsidRPr="008B4CA5">
        <w:rPr>
          <w:b/>
        </w:rPr>
        <w:t>A21 :</w:t>
      </w:r>
      <w:r>
        <w:t xml:space="preserve"> Tout possesseur d’un document prouvant la nécessité d’une réorganisation judiciaire peut être obligé par le tribunal de le joindre au dossier.</w:t>
      </w:r>
    </w:p>
    <w:p w14:paraId="0693B9A8" w14:textId="77777777" w:rsidR="008D340E" w:rsidRDefault="008D340E" w:rsidP="00244308">
      <w:pPr>
        <w:spacing w:before="240"/>
        <w:jc w:val="both"/>
      </w:pPr>
      <w:r w:rsidRPr="008B4CA5">
        <w:rPr>
          <w:b/>
        </w:rPr>
        <w:t>A22 :</w:t>
      </w:r>
      <w:r>
        <w:t xml:space="preserve"> Tant que le tribunal n’a pas statué sur la requête, aucune faillite ne peut être déclarée et aucune liquidation de bien n’est possible.</w:t>
      </w:r>
    </w:p>
    <w:p w14:paraId="0693B9A9" w14:textId="77777777" w:rsidR="00C460E6" w:rsidRDefault="00C460E6" w:rsidP="00244308">
      <w:pPr>
        <w:spacing w:before="240"/>
        <w:jc w:val="both"/>
      </w:pPr>
    </w:p>
    <w:p w14:paraId="0693B9AA" w14:textId="77777777" w:rsidR="00C460E6" w:rsidRPr="00244308" w:rsidRDefault="00C460E6" w:rsidP="00244308">
      <w:pPr>
        <w:spacing w:before="240"/>
        <w:jc w:val="both"/>
        <w:rPr>
          <w:b/>
        </w:rPr>
      </w:pPr>
      <w:r w:rsidRPr="00244308">
        <w:rPr>
          <w:b/>
        </w:rPr>
        <w:t>3° Conditions d’ouverture de la requête</w:t>
      </w:r>
    </w:p>
    <w:p w14:paraId="0693B9AB" w14:textId="77777777" w:rsidR="00C460E6" w:rsidRDefault="00C460E6" w:rsidP="00244308">
      <w:pPr>
        <w:spacing w:before="240"/>
        <w:jc w:val="both"/>
      </w:pPr>
      <w:r w:rsidRPr="008B4CA5">
        <w:rPr>
          <w:b/>
        </w:rPr>
        <w:t>A23 :</w:t>
      </w:r>
      <w:r>
        <w:t xml:space="preserve"> Si la continuité de l’entreprise est menacée (actif net &lt; capital social / 2 pour les sociétés), il y a ouverture de la procédure. Si une procédure a déjà été ouverte il y a moins de 3 ans, la nouvelle ne concernera que le transfert des activités (tout ou en partie) de l’entreprise.</w:t>
      </w:r>
    </w:p>
    <w:p w14:paraId="0693B9AC" w14:textId="77777777" w:rsidR="00C460E6" w:rsidRDefault="00C460E6" w:rsidP="00244308">
      <w:pPr>
        <w:spacing w:before="240"/>
        <w:jc w:val="both"/>
      </w:pPr>
    </w:p>
    <w:p w14:paraId="0693B9AD" w14:textId="77777777" w:rsidR="00C460E6" w:rsidRPr="00244308" w:rsidRDefault="00C460E6" w:rsidP="00244308">
      <w:pPr>
        <w:spacing w:before="240"/>
        <w:jc w:val="both"/>
        <w:rPr>
          <w:b/>
        </w:rPr>
      </w:pPr>
      <w:r w:rsidRPr="00244308">
        <w:rPr>
          <w:b/>
        </w:rPr>
        <w:t xml:space="preserve">4° Jugement </w:t>
      </w:r>
      <w:r w:rsidR="00244308">
        <w:rPr>
          <w:b/>
        </w:rPr>
        <w:t xml:space="preserve">statuant </w:t>
      </w:r>
      <w:r w:rsidRPr="00244308">
        <w:rPr>
          <w:b/>
        </w:rPr>
        <w:t>sur la requête</w:t>
      </w:r>
    </w:p>
    <w:p w14:paraId="0693B9AE" w14:textId="77777777" w:rsidR="00C460E6" w:rsidRDefault="00C460E6" w:rsidP="00244308">
      <w:pPr>
        <w:spacing w:before="240"/>
        <w:jc w:val="both"/>
      </w:pPr>
      <w:r w:rsidRPr="008B4CA5">
        <w:rPr>
          <w:b/>
        </w:rPr>
        <w:t>A24 :</w:t>
      </w:r>
      <w:r>
        <w:t xml:space="preserve"> L’examen de la requête a lieu par le tribunal dans les 10 jours qui suivent le dépôt de la requête. Le débiteur est convoqué par le greffier. Sauf avis contraire du débiteur, l’audition a lieu par la chambre du conseil (</w:t>
      </w:r>
      <w:r w:rsidR="00F33BCA">
        <w:t>sinon audience publique)</w:t>
      </w:r>
      <w:r>
        <w:t>. La procédure est ouverte s’il y a menace sur la continuité de l’entreprise.</w:t>
      </w:r>
    </w:p>
    <w:p w14:paraId="0693B9AF" w14:textId="77777777" w:rsidR="00F33BCA" w:rsidRDefault="00F33BCA" w:rsidP="00244308">
      <w:pPr>
        <w:spacing w:before="240"/>
        <w:jc w:val="both"/>
      </w:pPr>
      <w:r w:rsidRPr="008B4CA5">
        <w:rPr>
          <w:b/>
        </w:rPr>
        <w:t>A25 :</w:t>
      </w:r>
      <w:r>
        <w:t xml:space="preserve"> Néant</w:t>
      </w:r>
    </w:p>
    <w:p w14:paraId="0693B9B0" w14:textId="1DCA85F4" w:rsidR="00F33BCA" w:rsidRDefault="00F33BCA" w:rsidP="00244308">
      <w:pPr>
        <w:spacing w:before="240"/>
        <w:jc w:val="both"/>
      </w:pPr>
      <w:r w:rsidRPr="008B4CA5">
        <w:rPr>
          <w:b/>
        </w:rPr>
        <w:t>A26 :</w:t>
      </w:r>
      <w:r>
        <w:t xml:space="preserve"> Ouverture de la procédure dans les 5 jours suivant le jugement. Le Moniteur publiera l’id</w:t>
      </w:r>
      <w:r w:rsidR="00537EC6">
        <w:t>entité complète du débiteur et s</w:t>
      </w:r>
      <w:r>
        <w:t>es références commerciales, la date du jugement, l’identité du juge délégué, la date de fin du sursis (avec prorogation possible), le lieu et le moment de l’adoption du plan de réorganisation. Les créanciers sont avisés par le débiteur dans les 14 jours.</w:t>
      </w:r>
      <w:r w:rsidR="00F84B08">
        <w:t xml:space="preserve"> Notification par pli judiciaire en cas de rejet.</w:t>
      </w:r>
    </w:p>
    <w:p w14:paraId="0693B9B1" w14:textId="77777777" w:rsidR="00F84B08" w:rsidRDefault="00F84B08" w:rsidP="00244308">
      <w:pPr>
        <w:spacing w:before="240"/>
        <w:jc w:val="both"/>
      </w:pPr>
      <w:r w:rsidRPr="008B4CA5">
        <w:rPr>
          <w:b/>
        </w:rPr>
        <w:t>A27 :</w:t>
      </w:r>
      <w:r>
        <w:t xml:space="preserve"> Un mandataire est désigné pour aider le débiteur, si c’est demandé et nécessaire.</w:t>
      </w:r>
    </w:p>
    <w:p w14:paraId="0693B9B2" w14:textId="77777777" w:rsidR="00F84B08" w:rsidRDefault="00F84B08" w:rsidP="00244308">
      <w:pPr>
        <w:spacing w:before="240"/>
        <w:jc w:val="both"/>
      </w:pPr>
      <w:r w:rsidRPr="008B4CA5">
        <w:rPr>
          <w:b/>
        </w:rPr>
        <w:t>A28 :</w:t>
      </w:r>
      <w:r>
        <w:t xml:space="preserve"> Tout débiteur manifestement non coopératif peut être remplacé </w:t>
      </w:r>
      <w:r w:rsidR="00125476">
        <w:t xml:space="preserve">provisoirement </w:t>
      </w:r>
      <w:r>
        <w:t>par un administrateur.</w:t>
      </w:r>
      <w:r w:rsidR="00125476">
        <w:t xml:space="preserve"> </w:t>
      </w:r>
    </w:p>
    <w:p w14:paraId="0693B9B3" w14:textId="77777777" w:rsidR="00125476" w:rsidRDefault="00125476" w:rsidP="00244308">
      <w:pPr>
        <w:spacing w:before="240"/>
        <w:jc w:val="both"/>
      </w:pPr>
      <w:r w:rsidRPr="008B4CA5">
        <w:rPr>
          <w:b/>
        </w:rPr>
        <w:t>A29 :</w:t>
      </w:r>
      <w:r>
        <w:t xml:space="preserve"> le jugement sur la requête n’est pas opposable.</w:t>
      </w:r>
    </w:p>
    <w:p w14:paraId="0693B9B4" w14:textId="77777777" w:rsidR="00125476" w:rsidRDefault="00125476" w:rsidP="00244308">
      <w:pPr>
        <w:spacing w:before="240"/>
        <w:jc w:val="both"/>
      </w:pPr>
    </w:p>
    <w:p w14:paraId="0693B9B5" w14:textId="77777777" w:rsidR="00125476" w:rsidRPr="00244308" w:rsidRDefault="00125476" w:rsidP="00244308">
      <w:pPr>
        <w:spacing w:before="240"/>
        <w:jc w:val="both"/>
        <w:rPr>
          <w:b/>
        </w:rPr>
      </w:pPr>
      <w:r w:rsidRPr="00244308">
        <w:rPr>
          <w:b/>
        </w:rPr>
        <w:lastRenderedPageBreak/>
        <w:t>5° Effet de la décision de réorganisation</w:t>
      </w:r>
    </w:p>
    <w:p w14:paraId="0693B9B6" w14:textId="77777777" w:rsidR="00125476" w:rsidRDefault="00125476" w:rsidP="00244308">
      <w:pPr>
        <w:spacing w:before="240"/>
        <w:jc w:val="both"/>
      </w:pPr>
      <w:r w:rsidRPr="008B4CA5">
        <w:rPr>
          <w:b/>
        </w:rPr>
        <w:t>A30 :</w:t>
      </w:r>
      <w:r>
        <w:t xml:space="preserve"> Au cours du sursis de réorganisation judiciaire, les créances sursitaires sont inexécutables, et la déclaration de faillite ne peut être prononcée pour le débiteur commerçant (une société garde sa personnalité juridique).</w:t>
      </w:r>
    </w:p>
    <w:p w14:paraId="0693B9B7" w14:textId="77777777" w:rsidR="00125476" w:rsidRDefault="00125476" w:rsidP="00244308">
      <w:pPr>
        <w:spacing w:before="240"/>
        <w:jc w:val="both"/>
      </w:pPr>
      <w:r w:rsidRPr="008B4CA5">
        <w:rPr>
          <w:b/>
        </w:rPr>
        <w:t>A31 :</w:t>
      </w:r>
      <w:r>
        <w:t xml:space="preserve"> Toutes les créances sont suspendues. Les saisies antérieures ne seront pas prises en compte, sauf en cas de demande du tribunal.</w:t>
      </w:r>
      <w:r w:rsidR="00C31941">
        <w:t xml:space="preserve"> </w:t>
      </w:r>
    </w:p>
    <w:p w14:paraId="0693B9B8" w14:textId="77777777" w:rsidR="00C31941" w:rsidRDefault="00C31941" w:rsidP="00244308">
      <w:pPr>
        <w:spacing w:before="240"/>
        <w:jc w:val="both"/>
      </w:pPr>
      <w:r w:rsidRPr="008B4CA5">
        <w:rPr>
          <w:b/>
        </w:rPr>
        <w:t>A32 :</w:t>
      </w:r>
      <w:r>
        <w:t xml:space="preserve"> Les tiers ayant des garanties ne sont pas affectés par le sursis.</w:t>
      </w:r>
    </w:p>
    <w:p w14:paraId="0693B9B9" w14:textId="77777777" w:rsidR="00C31941" w:rsidRDefault="00C31941" w:rsidP="00244308">
      <w:pPr>
        <w:spacing w:before="240"/>
        <w:jc w:val="both"/>
      </w:pPr>
      <w:r w:rsidRPr="008B4CA5">
        <w:rPr>
          <w:b/>
        </w:rPr>
        <w:t>A33 :</w:t>
      </w:r>
      <w:r>
        <w:t xml:space="preserve"> Le sursis ne concerne pas les paiements volontaires du débiteur, mais ne profite pas aux codébiteurs ni aux débiteurs de sûretés personnelles. Les actions civiles n’entravent pas la procédure de réorganisation judiciaire. La loi sur la faillite n’est pas d’application pendant la réorganisation judiciaire.</w:t>
      </w:r>
    </w:p>
    <w:p w14:paraId="0693B9BA" w14:textId="77777777" w:rsidR="00C31941" w:rsidRDefault="00C31941" w:rsidP="00244308">
      <w:pPr>
        <w:spacing w:before="240"/>
        <w:jc w:val="both"/>
      </w:pPr>
      <w:r w:rsidRPr="008B4CA5">
        <w:rPr>
          <w:b/>
        </w:rPr>
        <w:t>A34 :</w:t>
      </w:r>
      <w:r>
        <w:t xml:space="preserve"> </w:t>
      </w:r>
      <w:r w:rsidR="00152AE7">
        <w:t>Néant.</w:t>
      </w:r>
    </w:p>
    <w:p w14:paraId="0693B9BB" w14:textId="77777777" w:rsidR="00152AE7" w:rsidRDefault="00152AE7" w:rsidP="00244308">
      <w:pPr>
        <w:spacing w:before="240"/>
        <w:jc w:val="both"/>
      </w:pPr>
      <w:r w:rsidRPr="008B4CA5">
        <w:rPr>
          <w:b/>
        </w:rPr>
        <w:t>A35 :</w:t>
      </w:r>
      <w:r>
        <w:t xml:space="preserve"> </w:t>
      </w:r>
      <w:r w:rsidR="00C66AD3">
        <w:t xml:space="preserve">Le début de la procédure de réorganisation judiciaire ne met pas fin aux contrats en cours. Le créancier doit envoyer une mise en demeure dans les 15 jours au débiteur qui serait fautif avant l’accord du sursis. Pendant le sursis, le débiteur peut suspendre ses obligations en informant les cocontractants dans le but de proposer un plan de réorganisation. </w:t>
      </w:r>
      <w:r w:rsidR="00D04BA0">
        <w:t>Pendant le sursis, les clauses pénales sont sans effets.</w:t>
      </w:r>
    </w:p>
    <w:p w14:paraId="0693B9BC" w14:textId="77777777" w:rsidR="00D04BA0" w:rsidRDefault="00D04BA0" w:rsidP="00244308">
      <w:pPr>
        <w:spacing w:before="240"/>
        <w:jc w:val="both"/>
      </w:pPr>
      <w:r w:rsidRPr="008B4CA5">
        <w:rPr>
          <w:b/>
        </w:rPr>
        <w:t>A36 :</w:t>
      </w:r>
      <w:r>
        <w:t xml:space="preserve"> Toute créance en cours </w:t>
      </w:r>
      <w:r w:rsidR="003B0810">
        <w:t xml:space="preserve">à </w:t>
      </w:r>
      <w:r>
        <w:t>paiements échelonnés et ses intérêts ne sont pas soumis au sursis.</w:t>
      </w:r>
    </w:p>
    <w:p w14:paraId="0693B9BD" w14:textId="77777777" w:rsidR="003B0810" w:rsidRDefault="003B0810" w:rsidP="00244308">
      <w:pPr>
        <w:spacing w:before="240"/>
        <w:jc w:val="both"/>
      </w:pPr>
      <w:r w:rsidRPr="008B4CA5">
        <w:rPr>
          <w:b/>
        </w:rPr>
        <w:t>A37 :</w:t>
      </w:r>
      <w:r>
        <w:t xml:space="preserve"> Toute dette subsistant pendant la période de réorganisation fera partie de la dette de masse si une faillite déclarée en résulte.</w:t>
      </w:r>
    </w:p>
    <w:p w14:paraId="0693B9BE" w14:textId="77777777" w:rsidR="00A82195" w:rsidRDefault="00A82195" w:rsidP="001F7D23">
      <w:pPr>
        <w:pStyle w:val="Titre4"/>
      </w:pPr>
      <w:r>
        <w:t>Réorganisation judiciaire par accord amiable (A43)</w:t>
      </w:r>
    </w:p>
    <w:p w14:paraId="0693B9BF" w14:textId="77777777" w:rsidR="00A82195" w:rsidRDefault="00A82195" w:rsidP="00A82195">
      <w:r>
        <w:t xml:space="preserve">Accord amiable encore possible même si la requête est déposée et acceptée, moyennant délais modérés </w:t>
      </w:r>
      <w:r>
        <w:sym w:font="Wingdings" w:char="F0E8"/>
      </w:r>
      <w:r>
        <w:t xml:space="preserve"> clôture de la procédure si accord.</w:t>
      </w:r>
    </w:p>
    <w:p w14:paraId="0693B9C0" w14:textId="77777777" w:rsidR="007238AE" w:rsidRDefault="007238AE" w:rsidP="00A82195"/>
    <w:p w14:paraId="0693B9C1" w14:textId="77777777" w:rsidR="007238AE" w:rsidRDefault="007238AE" w:rsidP="007238AE">
      <w:pPr>
        <w:jc w:val="both"/>
      </w:pPr>
      <w:r w:rsidRPr="007238AE">
        <w:rPr>
          <w:b/>
        </w:rPr>
        <w:t>A38 :</w:t>
      </w:r>
      <w:r>
        <w:t xml:space="preserve"> </w:t>
      </w:r>
      <w:r w:rsidRPr="007238AE">
        <w:t>Sur requête du débiteur et sur le rapport du juge délégué, le tribunal peut proroger le sursis.   La durée maximale du sursis ainsi prorogé ne peut excéder douze mois à compter du jugement accordant le sursis.</w:t>
      </w:r>
    </w:p>
    <w:p w14:paraId="0693B9C2" w14:textId="77777777" w:rsidR="007238AE" w:rsidRDefault="007238AE" w:rsidP="007238AE">
      <w:pPr>
        <w:jc w:val="both"/>
      </w:pPr>
    </w:p>
    <w:p w14:paraId="0693B9C3" w14:textId="77777777" w:rsidR="007238AE" w:rsidRDefault="007238AE" w:rsidP="007238AE">
      <w:pPr>
        <w:jc w:val="both"/>
      </w:pPr>
      <w:r w:rsidRPr="007238AE">
        <w:rPr>
          <w:b/>
        </w:rPr>
        <w:t>A39 :</w:t>
      </w:r>
      <w:r>
        <w:t xml:space="preserve"> accord amiable et procédure de réorganisation toujours possibles à tout moment, réorientant ainsi la procédure de réorganisation judiciaire.</w:t>
      </w:r>
    </w:p>
    <w:p w14:paraId="0693B9C4" w14:textId="77777777" w:rsidR="007238AE" w:rsidRDefault="007238AE" w:rsidP="00A82195"/>
    <w:p w14:paraId="0693B9C5" w14:textId="77777777" w:rsidR="007238AE" w:rsidRDefault="007238AE" w:rsidP="007238AE">
      <w:pPr>
        <w:jc w:val="both"/>
      </w:pPr>
      <w:r w:rsidRPr="007238AE">
        <w:rPr>
          <w:b/>
        </w:rPr>
        <w:t>A40 :</w:t>
      </w:r>
      <w:r>
        <w:t xml:space="preserve"> </w:t>
      </w:r>
      <w:r w:rsidRPr="007238AE">
        <w:t>Le débiteur peut, à tout stade de la procédure, renoncer en tout ou en partie à sa demande en réorganisation judiciaire, à charge d'exécuter intégralement ses obligations aux conditions et selon les modalités convenues avec les créanciers que concerne la renonciation, si elle est partielle, ou avec tous ses créanciers, si elle est complète.</w:t>
      </w:r>
    </w:p>
    <w:p w14:paraId="0693B9C6" w14:textId="77777777" w:rsidR="007238AE" w:rsidRDefault="007238AE" w:rsidP="007238AE">
      <w:pPr>
        <w:jc w:val="both"/>
      </w:pPr>
    </w:p>
    <w:p w14:paraId="0693B9C7" w14:textId="77777777" w:rsidR="007238AE" w:rsidRDefault="007238AE" w:rsidP="007238AE">
      <w:pPr>
        <w:jc w:val="both"/>
      </w:pPr>
      <w:r w:rsidRPr="007238AE">
        <w:rPr>
          <w:b/>
        </w:rPr>
        <w:t>A41 :</w:t>
      </w:r>
      <w:r>
        <w:t xml:space="preserve"> </w:t>
      </w:r>
      <w:r w:rsidRPr="007238AE">
        <w:t>Le tribunal qui ordonne la fin anticipée de la procédure de réorganisation judiciaire peut prononcer par le même jugement la faillite du débiteur ou, s'agissant d'une société, la liquidation judiciaire, lorsque la citation tend également à cette fin et que les conditions en sont réunies.</w:t>
      </w:r>
    </w:p>
    <w:p w14:paraId="0693B9C8" w14:textId="77777777" w:rsidR="007238AE" w:rsidRDefault="007238AE" w:rsidP="007238AE">
      <w:pPr>
        <w:jc w:val="both"/>
      </w:pPr>
    </w:p>
    <w:p w14:paraId="0693B9C9" w14:textId="77777777" w:rsidR="007238AE" w:rsidRDefault="007238AE" w:rsidP="007238AE">
      <w:pPr>
        <w:jc w:val="both"/>
      </w:pPr>
      <w:r w:rsidRPr="007238AE">
        <w:rPr>
          <w:b/>
        </w:rPr>
        <w:t>A42 :</w:t>
      </w:r>
      <w:r>
        <w:t xml:space="preserve"> </w:t>
      </w:r>
      <w:r w:rsidRPr="007238AE">
        <w:t>Dès le prononcé du jugement qui ordonne la fin anticipée de la procédure en réorganisation judiciaire ou qui la clôture, le sursis prend fin et les créanciers retrouvent l'exercice intégral de leurs droits et actions.</w:t>
      </w:r>
    </w:p>
    <w:p w14:paraId="0693B9CA" w14:textId="77777777" w:rsidR="007238AE" w:rsidRDefault="007238AE" w:rsidP="007238AE">
      <w:pPr>
        <w:jc w:val="both"/>
      </w:pPr>
    </w:p>
    <w:p w14:paraId="0693B9CB" w14:textId="77777777" w:rsidR="00A82195" w:rsidRDefault="00A82195" w:rsidP="001F7D23">
      <w:pPr>
        <w:pStyle w:val="Titre4"/>
      </w:pPr>
      <w:r>
        <w:lastRenderedPageBreak/>
        <w:t>Réorganisation judiciaire par accord col</w:t>
      </w:r>
      <w:r w:rsidR="008B4CA5">
        <w:t>l</w:t>
      </w:r>
      <w:r>
        <w:t>ectif</w:t>
      </w:r>
    </w:p>
    <w:p w14:paraId="0693B9CC" w14:textId="77777777" w:rsidR="00A82195" w:rsidRDefault="00A82195" w:rsidP="00A82195">
      <w:pPr>
        <w:spacing w:before="240"/>
        <w:jc w:val="both"/>
      </w:pPr>
      <w:r>
        <w:rPr>
          <w:b/>
        </w:rPr>
        <w:t xml:space="preserve">A44 : </w:t>
      </w:r>
      <w:r>
        <w:t>si pas joint à la requête, obligation de déposer le plan de réorganisation (par le débiteur) dans les 14 jours SEULEMENT si l’accord des créanciers sur la réorganisation est nécessaire (rare).</w:t>
      </w:r>
    </w:p>
    <w:p w14:paraId="0693B9CD" w14:textId="77777777" w:rsidR="00A82195" w:rsidRDefault="00A82195" w:rsidP="00A82195">
      <w:pPr>
        <w:spacing w:before="240"/>
        <w:jc w:val="both"/>
      </w:pPr>
      <w:r w:rsidRPr="00A82195">
        <w:rPr>
          <w:b/>
        </w:rPr>
        <w:t>A45 :</w:t>
      </w:r>
      <w:r>
        <w:t xml:space="preserve"> </w:t>
      </w:r>
      <w:r>
        <w:sym w:font="Wingdings" w:char="F0E8"/>
      </w:r>
      <w:r>
        <w:t xml:space="preserve"> avertissement des créanciers par le débiteur (avec rappel des montants et éventuelles garanties).</w:t>
      </w:r>
    </w:p>
    <w:p w14:paraId="0693B9CE" w14:textId="77777777" w:rsidR="00A82195" w:rsidRPr="00A82195" w:rsidRDefault="00A82195" w:rsidP="00A82195">
      <w:pPr>
        <w:spacing w:before="240"/>
        <w:jc w:val="both"/>
        <w:rPr>
          <w:b/>
        </w:rPr>
      </w:pPr>
      <w:r w:rsidRPr="00A82195">
        <w:rPr>
          <w:b/>
        </w:rPr>
        <w:t>A46 :</w:t>
      </w:r>
    </w:p>
    <w:p w14:paraId="0693B9CF" w14:textId="77777777" w:rsidR="00A82195" w:rsidRDefault="00A82195" w:rsidP="0086187F">
      <w:pPr>
        <w:numPr>
          <w:ilvl w:val="0"/>
          <w:numId w:val="42"/>
        </w:numPr>
        <w:jc w:val="both"/>
      </w:pPr>
      <w:r>
        <w:t>Dernière possibilité aux créanciers de se faire connaître ou de rectifier leur créance.</w:t>
      </w:r>
    </w:p>
    <w:p w14:paraId="0693B9D0" w14:textId="77777777" w:rsidR="00A82195" w:rsidRDefault="00A82195" w:rsidP="0086187F">
      <w:pPr>
        <w:numPr>
          <w:ilvl w:val="0"/>
          <w:numId w:val="42"/>
        </w:numPr>
        <w:jc w:val="both"/>
      </w:pPr>
      <w:r>
        <w:t>Idem</w:t>
      </w:r>
      <w:r w:rsidR="007163B5">
        <w:t>.</w:t>
      </w:r>
    </w:p>
    <w:p w14:paraId="0693B9D1" w14:textId="77777777" w:rsidR="00A82195" w:rsidRDefault="00A82195" w:rsidP="0086187F">
      <w:pPr>
        <w:numPr>
          <w:ilvl w:val="0"/>
          <w:numId w:val="42"/>
        </w:numPr>
        <w:jc w:val="both"/>
      </w:pPr>
      <w:r>
        <w:t>Possibilité de fixer temporairement des créances en cas d’incompétence du tribunal.</w:t>
      </w:r>
    </w:p>
    <w:p w14:paraId="0693B9D2" w14:textId="77777777" w:rsidR="007163B5" w:rsidRDefault="007163B5" w:rsidP="0086187F">
      <w:pPr>
        <w:numPr>
          <w:ilvl w:val="0"/>
          <w:numId w:val="42"/>
        </w:numPr>
        <w:jc w:val="both"/>
      </w:pPr>
      <w:r>
        <w:t>Idem 1 &amp; 2 (si absolue nécessité).</w:t>
      </w:r>
    </w:p>
    <w:p w14:paraId="0693B9D3" w14:textId="77777777" w:rsidR="007163B5" w:rsidRDefault="007163B5" w:rsidP="0086187F">
      <w:pPr>
        <w:numPr>
          <w:ilvl w:val="0"/>
          <w:numId w:val="42"/>
        </w:numPr>
        <w:jc w:val="both"/>
      </w:pPr>
      <w:r>
        <w:t>Recours impossible pour les créanciers du 3.</w:t>
      </w:r>
    </w:p>
    <w:p w14:paraId="0693B9D4" w14:textId="77777777" w:rsidR="007163B5" w:rsidRDefault="007163B5" w:rsidP="0086187F">
      <w:pPr>
        <w:numPr>
          <w:ilvl w:val="0"/>
          <w:numId w:val="42"/>
        </w:numPr>
        <w:jc w:val="both"/>
      </w:pPr>
      <w:r>
        <w:t>Néant.</w:t>
      </w:r>
    </w:p>
    <w:p w14:paraId="0693B9D5" w14:textId="77777777" w:rsidR="007163B5" w:rsidRDefault="007163B5" w:rsidP="008B4CA5">
      <w:pPr>
        <w:spacing w:before="240"/>
        <w:jc w:val="both"/>
      </w:pPr>
      <w:r w:rsidRPr="007163B5">
        <w:rPr>
          <w:b/>
        </w:rPr>
        <w:t>A47 :</w:t>
      </w:r>
      <w:r>
        <w:t xml:space="preserve"> plan de réorganisation obligatoire si pas déjà joint à la requête.</w:t>
      </w:r>
    </w:p>
    <w:p w14:paraId="0693B9D6" w14:textId="77777777" w:rsidR="007163B5" w:rsidRDefault="007163B5" w:rsidP="007163B5">
      <w:pPr>
        <w:spacing w:before="240"/>
        <w:jc w:val="both"/>
      </w:pPr>
      <w:r w:rsidRPr="007163B5">
        <w:rPr>
          <w:b/>
        </w:rPr>
        <w:t>A48 :</w:t>
      </w:r>
      <w:r>
        <w:t xml:space="preserve"> néant.</w:t>
      </w:r>
    </w:p>
    <w:p w14:paraId="0693B9D7" w14:textId="77777777" w:rsidR="00A82195" w:rsidRDefault="007163B5" w:rsidP="00A82195">
      <w:pPr>
        <w:spacing w:before="240"/>
        <w:jc w:val="both"/>
      </w:pPr>
      <w:r w:rsidRPr="007163B5">
        <w:rPr>
          <w:b/>
        </w:rPr>
        <w:t>A49 :</w:t>
      </w:r>
      <w:r>
        <w:t xml:space="preserve"> le plan de réorganisation contient notamment le détail du traitement de chaque créance (délais, compensation, renonciation, consolidation, etc.) et l’éventuel plan social.</w:t>
      </w:r>
    </w:p>
    <w:p w14:paraId="0693B9D8" w14:textId="77777777" w:rsidR="007163B5" w:rsidRDefault="007163B5" w:rsidP="00A82195">
      <w:pPr>
        <w:spacing w:before="240"/>
        <w:jc w:val="both"/>
      </w:pPr>
      <w:r w:rsidRPr="007163B5">
        <w:rPr>
          <w:b/>
        </w:rPr>
        <w:t>A50 :</w:t>
      </w:r>
      <w:r>
        <w:t xml:space="preserve"> possibilité de suspendre les intérêts des créances pendant maximum 2 ans (+ 1 an supplémentaire si preuve apportée).</w:t>
      </w:r>
    </w:p>
    <w:p w14:paraId="0693B9D9" w14:textId="77777777" w:rsidR="007163B5" w:rsidRDefault="007163B5" w:rsidP="00A82195">
      <w:pPr>
        <w:spacing w:before="240"/>
        <w:jc w:val="both"/>
      </w:pPr>
      <w:r w:rsidRPr="007163B5">
        <w:rPr>
          <w:b/>
        </w:rPr>
        <w:t>A51 :</w:t>
      </w:r>
      <w:r>
        <w:t xml:space="preserve"> néant.</w:t>
      </w:r>
    </w:p>
    <w:p w14:paraId="0693B9DA" w14:textId="77777777" w:rsidR="007163B5" w:rsidRDefault="007163B5" w:rsidP="00A82195">
      <w:pPr>
        <w:spacing w:before="240"/>
        <w:jc w:val="both"/>
      </w:pPr>
      <w:r w:rsidRPr="007163B5">
        <w:rPr>
          <w:b/>
        </w:rPr>
        <w:t>A52 :</w:t>
      </w:r>
      <w:r>
        <w:t xml:space="preserve"> durée maximum de la réorganisation : 5 ans.</w:t>
      </w:r>
    </w:p>
    <w:p w14:paraId="0693B9DB" w14:textId="77777777" w:rsidR="007163B5" w:rsidRDefault="007163B5" w:rsidP="00A82195">
      <w:pPr>
        <w:spacing w:before="240"/>
        <w:jc w:val="both"/>
      </w:pPr>
      <w:r w:rsidRPr="007163B5">
        <w:rPr>
          <w:b/>
        </w:rPr>
        <w:t>A53 :</w:t>
      </w:r>
      <w:r>
        <w:t xml:space="preserve"> notification du plan à tous les créanciers (en vue de l’audience pour approbation).</w:t>
      </w:r>
    </w:p>
    <w:p w14:paraId="0693B9DC" w14:textId="77777777" w:rsidR="007163B5" w:rsidRDefault="007163B5" w:rsidP="00A82195">
      <w:pPr>
        <w:spacing w:before="240"/>
        <w:jc w:val="both"/>
      </w:pPr>
      <w:r w:rsidRPr="007163B5">
        <w:rPr>
          <w:b/>
        </w:rPr>
        <w:t>A54 :</w:t>
      </w:r>
      <w:r>
        <w:t xml:space="preserve"> approbation du plan si majorité (1/2) de oui des créanciers présents, représentant au moins la moitié du total des créances.</w:t>
      </w:r>
    </w:p>
    <w:p w14:paraId="0693B9DD" w14:textId="77777777" w:rsidR="007163B5" w:rsidRDefault="007163B5" w:rsidP="00A82195">
      <w:pPr>
        <w:spacing w:before="240"/>
        <w:jc w:val="both"/>
      </w:pPr>
      <w:r w:rsidRPr="007163B5">
        <w:rPr>
          <w:b/>
        </w:rPr>
        <w:t>A55 :</w:t>
      </w:r>
      <w:r>
        <w:t xml:space="preserve"> si le plan est homologué (cf. forme), publication au Moniteur dans les 14 jours.</w:t>
      </w:r>
    </w:p>
    <w:p w14:paraId="0693B9DE" w14:textId="77777777" w:rsidR="007163B5" w:rsidRDefault="007163B5" w:rsidP="00A82195">
      <w:pPr>
        <w:spacing w:before="240"/>
        <w:jc w:val="both"/>
      </w:pPr>
      <w:r w:rsidRPr="007163B5">
        <w:rPr>
          <w:b/>
        </w:rPr>
        <w:t>A56 :</w:t>
      </w:r>
      <w:r>
        <w:t xml:space="preserve"> pas d’opposition possible, mais appel bien dans les 8 jours.</w:t>
      </w:r>
    </w:p>
    <w:p w14:paraId="0693B9DF" w14:textId="77777777" w:rsidR="00A82195" w:rsidRDefault="007163B5" w:rsidP="00244308">
      <w:pPr>
        <w:spacing w:before="240"/>
        <w:jc w:val="both"/>
      </w:pPr>
      <w:r w:rsidRPr="007163B5">
        <w:rPr>
          <w:b/>
        </w:rPr>
        <w:t>A57 à A58 :</w:t>
      </w:r>
      <w:r>
        <w:t xml:space="preserve"> néant.</w:t>
      </w:r>
    </w:p>
    <w:p w14:paraId="0693B9E0" w14:textId="77777777" w:rsidR="00CA3875" w:rsidRDefault="00CA3875" w:rsidP="001F7D23">
      <w:pPr>
        <w:pStyle w:val="Titre4"/>
      </w:pPr>
      <w:r w:rsidRPr="00CA3875">
        <w:t>La réorganisation judiciaire par transfert sous autorité de justice</w:t>
      </w:r>
    </w:p>
    <w:p w14:paraId="0693B9E1" w14:textId="77777777" w:rsidR="00CA3875" w:rsidRPr="00780E6A" w:rsidRDefault="00CA3875" w:rsidP="00CA3875">
      <w:pPr>
        <w:rPr>
          <w:b/>
        </w:rPr>
      </w:pPr>
      <w:r w:rsidRPr="00780E6A">
        <w:rPr>
          <w:b/>
        </w:rPr>
        <w:t>A59</w:t>
      </w:r>
    </w:p>
    <w:p w14:paraId="0693B9E2" w14:textId="77777777" w:rsidR="00CA3875" w:rsidRDefault="00780E6A" w:rsidP="0086187F">
      <w:pPr>
        <w:numPr>
          <w:ilvl w:val="0"/>
          <w:numId w:val="47"/>
        </w:numPr>
        <w:spacing w:before="120"/>
        <w:ind w:left="425" w:hanging="425"/>
        <w:jc w:val="both"/>
      </w:pPr>
      <w:r>
        <w:t xml:space="preserve">Lorsque </w:t>
      </w:r>
      <w:r w:rsidRPr="00780E6A">
        <w:t>le débiteur y consent dans sa requête</w:t>
      </w:r>
      <w:r>
        <w:t>, le tribunal, après consultation du personnel de l’entreprise, peut ordonner l</w:t>
      </w:r>
      <w:r w:rsidRPr="00780E6A">
        <w:t xml:space="preserve">e transfert </w:t>
      </w:r>
      <w:r>
        <w:t xml:space="preserve">des activités (partiel ou total) </w:t>
      </w:r>
      <w:r w:rsidRPr="00780E6A">
        <w:t xml:space="preserve">sous autorité de justice </w:t>
      </w:r>
      <w:r>
        <w:t xml:space="preserve">pour </w:t>
      </w:r>
      <w:r w:rsidRPr="00780E6A">
        <w:t xml:space="preserve">assurer </w:t>
      </w:r>
      <w:r>
        <w:t>la continuité de l’entreprise.</w:t>
      </w:r>
    </w:p>
    <w:p w14:paraId="0693B9E3" w14:textId="77777777" w:rsidR="00780E6A" w:rsidRDefault="00780E6A" w:rsidP="0086187F">
      <w:pPr>
        <w:numPr>
          <w:ilvl w:val="0"/>
          <w:numId w:val="47"/>
        </w:numPr>
        <w:spacing w:before="120"/>
        <w:ind w:left="425" w:hanging="425"/>
        <w:jc w:val="both"/>
      </w:pPr>
      <w:r>
        <w:t>Sinon, tout intéressé peut également demander ce transfert sous autorité de justice</w:t>
      </w:r>
      <w:r w:rsidR="00A11678">
        <w:t xml:space="preserve"> </w:t>
      </w:r>
      <w:r>
        <w:t xml:space="preserve">si le débiteur est en état de faillite </w:t>
      </w:r>
      <w:r w:rsidRPr="00780E6A">
        <w:t xml:space="preserve">sans avoir demandé l'ouverture d'une procédure </w:t>
      </w:r>
      <w:r>
        <w:t>de réorganisation judiciaire ;</w:t>
      </w:r>
      <w:r w:rsidR="00A11678">
        <w:t xml:space="preserve"> ou </w:t>
      </w:r>
      <w:r>
        <w:t>s’il y a rejet, révocation</w:t>
      </w:r>
      <w:r w:rsidR="00A11678">
        <w:t>, non homologation</w:t>
      </w:r>
      <w:r>
        <w:t xml:space="preserve"> ou fin anticipée du plan de réorganisation</w:t>
      </w:r>
      <w:r w:rsidR="00A11678">
        <w:t>.</w:t>
      </w:r>
    </w:p>
    <w:p w14:paraId="0693B9E4" w14:textId="77777777" w:rsidR="00153A8E" w:rsidRDefault="00153A8E" w:rsidP="0086187F">
      <w:pPr>
        <w:numPr>
          <w:ilvl w:val="0"/>
          <w:numId w:val="47"/>
        </w:numPr>
        <w:spacing w:before="120"/>
        <w:ind w:left="425" w:hanging="425"/>
        <w:jc w:val="both"/>
      </w:pPr>
      <w:r>
        <w:t>Le rapport sur l’exécution du transfert est rédigé par le juge délégué (si le jugement du transfert a eu lieu au même moment que le jugement de fin de sursis) ou un juge au tribunal (hors le président).</w:t>
      </w:r>
    </w:p>
    <w:p w14:paraId="0693B9E5" w14:textId="77777777" w:rsidR="00780E6A" w:rsidRDefault="00153A8E" w:rsidP="0086187F">
      <w:pPr>
        <w:numPr>
          <w:ilvl w:val="0"/>
          <w:numId w:val="47"/>
        </w:numPr>
        <w:spacing w:before="120"/>
        <w:ind w:left="425" w:hanging="425"/>
        <w:jc w:val="both"/>
      </w:pPr>
      <w:r>
        <w:t>L’obligation d’entendre le personnel de l’entreprise reste valable.</w:t>
      </w:r>
    </w:p>
    <w:p w14:paraId="0693B9E6" w14:textId="77777777" w:rsidR="00153A8E" w:rsidRDefault="00512F9F" w:rsidP="00153A8E">
      <w:pPr>
        <w:spacing w:before="240"/>
        <w:jc w:val="both"/>
      </w:pPr>
      <w:r w:rsidRPr="00D46241">
        <w:rPr>
          <w:b/>
        </w:rPr>
        <w:lastRenderedPageBreak/>
        <w:t>A60 :</w:t>
      </w:r>
      <w:r>
        <w:t xml:space="preserve"> Le tribunal désigne un mandataire </w:t>
      </w:r>
      <w:r w:rsidR="00D46241">
        <w:t xml:space="preserve">de justice </w:t>
      </w:r>
      <w:r>
        <w:t>pour le transfert. Sursis supplémentaire de 6 mois possible.</w:t>
      </w:r>
    </w:p>
    <w:p w14:paraId="0693B9E7" w14:textId="77777777" w:rsidR="00E27BF1" w:rsidRPr="00780E6A" w:rsidRDefault="00E27BF1" w:rsidP="00E27BF1">
      <w:pPr>
        <w:spacing w:before="240"/>
        <w:rPr>
          <w:b/>
        </w:rPr>
      </w:pPr>
      <w:r w:rsidRPr="00780E6A">
        <w:rPr>
          <w:b/>
        </w:rPr>
        <w:t>A</w:t>
      </w:r>
      <w:r>
        <w:rPr>
          <w:b/>
        </w:rPr>
        <w:t>61</w:t>
      </w:r>
    </w:p>
    <w:p w14:paraId="0693B9E8" w14:textId="77777777" w:rsidR="00E27BF1" w:rsidRDefault="00E27BF1" w:rsidP="0086187F">
      <w:pPr>
        <w:numPr>
          <w:ilvl w:val="0"/>
          <w:numId w:val="48"/>
        </w:numPr>
        <w:spacing w:before="120"/>
        <w:jc w:val="both"/>
      </w:pPr>
      <w:r>
        <w:t>Les droits et obligations des contrats de travail de l’entreprise sont transférés au cessionnaire.</w:t>
      </w:r>
    </w:p>
    <w:p w14:paraId="0693B9E9" w14:textId="77777777" w:rsidR="00E27BF1" w:rsidRDefault="000F3C96" w:rsidP="0086187F">
      <w:pPr>
        <w:numPr>
          <w:ilvl w:val="0"/>
          <w:numId w:val="48"/>
        </w:numPr>
        <w:spacing w:before="120"/>
        <w:jc w:val="both"/>
      </w:pPr>
      <w:r>
        <w:t>Pour préserver la continuité de l’entreprise, ces contrats de travail, ou les conditions de travail, peuvent être modifiés si toutes les parties sont d’accord.</w:t>
      </w:r>
    </w:p>
    <w:p w14:paraId="0693B9EA" w14:textId="77777777" w:rsidR="000F3C96" w:rsidRDefault="005457DD" w:rsidP="0086187F">
      <w:pPr>
        <w:numPr>
          <w:ilvl w:val="0"/>
          <w:numId w:val="48"/>
        </w:numPr>
        <w:spacing w:before="120"/>
        <w:jc w:val="both"/>
      </w:pPr>
      <w:r>
        <w:t xml:space="preserve">Le cédant ou le mandataire de justice sont tenus d’informer </w:t>
      </w:r>
      <w:r w:rsidR="008C0BAA">
        <w:t xml:space="preserve">(par écrit) </w:t>
      </w:r>
      <w:r>
        <w:t xml:space="preserve">le cessionnaire de tous les droits et obligations résultant </w:t>
      </w:r>
      <w:r w:rsidR="008C0BAA">
        <w:t>du transfert judiciaire. L</w:t>
      </w:r>
      <w:r w:rsidR="008C0BAA" w:rsidRPr="008C0BAA">
        <w:t xml:space="preserve">es dettes découlant des contrats de travail </w:t>
      </w:r>
      <w:r w:rsidR="008C0BAA">
        <w:t xml:space="preserve">couvertes </w:t>
      </w:r>
      <w:r w:rsidR="008C0BAA" w:rsidRPr="008C0BAA">
        <w:t>par le Fonds d'indemnisation des travailleurs licenciés</w:t>
      </w:r>
      <w:r w:rsidR="008C0BAA">
        <w:t xml:space="preserve"> ne sont pas transférées au cessionnaire.</w:t>
      </w:r>
    </w:p>
    <w:p w14:paraId="0693B9EB" w14:textId="77777777" w:rsidR="008C0BAA" w:rsidRDefault="008C0BAA" w:rsidP="0086187F">
      <w:pPr>
        <w:numPr>
          <w:ilvl w:val="0"/>
          <w:numId w:val="48"/>
        </w:numPr>
        <w:spacing w:before="120"/>
        <w:jc w:val="both"/>
      </w:pPr>
      <w:r>
        <w:t xml:space="preserve">Seules des </w:t>
      </w:r>
      <w:r w:rsidRPr="008C0BAA">
        <w:t>raisons techniques, économiques et organisationnelles</w:t>
      </w:r>
      <w:r>
        <w:t xml:space="preserve"> doivent motiver le cessionnaire dans son choix des travailleurs qui seront repris.</w:t>
      </w:r>
    </w:p>
    <w:p w14:paraId="0693B9EC" w14:textId="77777777" w:rsidR="008C0BAA" w:rsidRDefault="008C0BAA" w:rsidP="0086187F">
      <w:pPr>
        <w:numPr>
          <w:ilvl w:val="0"/>
          <w:numId w:val="48"/>
        </w:numPr>
        <w:spacing w:before="120"/>
        <w:jc w:val="both"/>
      </w:pPr>
      <w:r>
        <w:t>L’homologation du transfert peut être demandée au tribunal de commerce.</w:t>
      </w:r>
    </w:p>
    <w:p w14:paraId="0693B9ED" w14:textId="77777777" w:rsidR="00B80D1D" w:rsidRDefault="008C0BAA" w:rsidP="0086187F">
      <w:pPr>
        <w:numPr>
          <w:ilvl w:val="0"/>
          <w:numId w:val="48"/>
        </w:numPr>
        <w:spacing w:before="120"/>
        <w:jc w:val="both"/>
      </w:pPr>
      <w:r>
        <w:t>Une convention collective (ratifiée par le Roi) est possible pour assurer la continuité de l’entreprise.</w:t>
      </w:r>
    </w:p>
    <w:p w14:paraId="0693B9EE" w14:textId="77777777" w:rsidR="004D1D96" w:rsidRDefault="004D1D96" w:rsidP="00C04C63">
      <w:pPr>
        <w:spacing w:before="240"/>
        <w:jc w:val="both"/>
      </w:pPr>
      <w:r w:rsidRPr="004D1D96">
        <w:rPr>
          <w:b/>
        </w:rPr>
        <w:t>A62 :</w:t>
      </w:r>
      <w:r>
        <w:t xml:space="preserve"> Le mandataire désigné se charge des transferts tout en maintenant l’activité économique de l’entreprise. Dans ce but, il peut solliciter des offres en respectant les droits des créanciers. Il devra élaborer un ou plusieurs projet(s) détaillé(s) qui sera communiqué au juge afin d’avoir l’autorisation quant à l’exécution de la vente.</w:t>
      </w:r>
    </w:p>
    <w:p w14:paraId="0693B9EF" w14:textId="77777777" w:rsidR="004D1D96" w:rsidRDefault="004D1D96" w:rsidP="00C04C63">
      <w:pPr>
        <w:spacing w:before="240"/>
        <w:jc w:val="both"/>
      </w:pPr>
      <w:r w:rsidRPr="004D1D96">
        <w:rPr>
          <w:b/>
        </w:rPr>
        <w:t>A63 :</w:t>
      </w:r>
      <w:r>
        <w:t xml:space="preserve"> Si la vente porte sur des immeubles, le projet d’acte est fait par un notaire selon les modalités requises. Si la vente porte sur un immeuble ou fonds de commerce, toute personne concernée par celui-ci sera entendu et pourra, tout comme le débiteur, faire valoir par requête certaines conditions sur la vente. Dans tou</w:t>
      </w:r>
      <w:r w:rsidR="00FB1C4F">
        <w:t>s</w:t>
      </w:r>
      <w:r>
        <w:t xml:space="preserve"> les cas, le débiteur sera convoqué au préalable.</w:t>
      </w:r>
    </w:p>
    <w:p w14:paraId="0693B9F0" w14:textId="77777777" w:rsidR="004D1D96" w:rsidRDefault="004D1D96" w:rsidP="00C04C63">
      <w:pPr>
        <w:spacing w:before="240"/>
        <w:jc w:val="both"/>
      </w:pPr>
      <w:r w:rsidRPr="004D1D96">
        <w:rPr>
          <w:b/>
        </w:rPr>
        <w:t>A64 :</w:t>
      </w:r>
      <w:r>
        <w:t xml:space="preserve"> Pour la protection du travail : le tribunal peut entendre tout représentant légal des travailleurs ainsi que les travailleurs eux-mêmes. En cas de plusieurs propositions de vente, c’est le tribunal qui tranche. En cas de vente mobilière publique, un huissier de justice s’occupera de la vente et recevra le prix de la vente. Toute vente est publiée et communiquée aux créanciers avec tous les détails par l’huissier de justice.</w:t>
      </w:r>
    </w:p>
    <w:p w14:paraId="0693B9F1" w14:textId="77777777" w:rsidR="004D1D96" w:rsidRDefault="004D1D96" w:rsidP="00C04C63">
      <w:pPr>
        <w:spacing w:before="240"/>
        <w:jc w:val="both"/>
      </w:pPr>
      <w:r w:rsidRPr="004D1D96">
        <w:rPr>
          <w:b/>
        </w:rPr>
        <w:t>A65 :</w:t>
      </w:r>
      <w:r>
        <w:t xml:space="preserve"> La vente doit être conforme aux règles données par le tribunal, ainsi que la vente immobilière rédigée par le notaire.</w:t>
      </w:r>
    </w:p>
    <w:p w14:paraId="0693B9F2" w14:textId="77777777" w:rsidR="00C04C63" w:rsidRDefault="00C04C63" w:rsidP="00C04C63">
      <w:pPr>
        <w:spacing w:before="240"/>
        <w:jc w:val="both"/>
      </w:pPr>
      <w:r w:rsidRPr="00C913F4">
        <w:rPr>
          <w:b/>
        </w:rPr>
        <w:t>A66 :</w:t>
      </w:r>
      <w:r>
        <w:t xml:space="preserve"> Les prix de vente doivent tenir compte des éventuels droits des créanciers.</w:t>
      </w:r>
    </w:p>
    <w:p w14:paraId="0693B9F3" w14:textId="77777777" w:rsidR="00C04C63" w:rsidRDefault="00C04C63" w:rsidP="00C04C63">
      <w:pPr>
        <w:spacing w:before="240"/>
        <w:jc w:val="both"/>
      </w:pPr>
      <w:r w:rsidRPr="00C913F4">
        <w:rPr>
          <w:b/>
        </w:rPr>
        <w:t>A67 :</w:t>
      </w:r>
      <w:r>
        <w:t xml:space="preserve"> Une fois le transfert terminé, le mandataire demande la clôture de la procédure au tribunal. Il peut aussi demander la décharge de sa mission. Toutes les parties seront entendues.</w:t>
      </w:r>
    </w:p>
    <w:p w14:paraId="0693B9F4" w14:textId="77777777" w:rsidR="00C04C63" w:rsidRDefault="00C04C63" w:rsidP="00C04C63">
      <w:pPr>
        <w:spacing w:before="240"/>
        <w:jc w:val="both"/>
      </w:pPr>
      <w:r w:rsidRPr="00C913F4">
        <w:rPr>
          <w:b/>
        </w:rPr>
        <w:t>A68 :</w:t>
      </w:r>
      <w:r>
        <w:t xml:space="preserve"> La décision de clôture de la réorganisation judiciaire décharge le cessionnaire de toutes ses </w:t>
      </w:r>
      <w:r w:rsidR="00C913F4">
        <w:t>obligations autres que celles apparaissant dans l’acte</w:t>
      </w:r>
      <w:r>
        <w:t xml:space="preserve"> de transfert.</w:t>
      </w:r>
    </w:p>
    <w:p w14:paraId="0693B9F5" w14:textId="77777777" w:rsidR="00C913F4" w:rsidRDefault="00C913F4" w:rsidP="00C04C63">
      <w:pPr>
        <w:spacing w:before="240"/>
        <w:jc w:val="both"/>
      </w:pPr>
      <w:r w:rsidRPr="00C913F4">
        <w:rPr>
          <w:b/>
        </w:rPr>
        <w:t>A69 :</w:t>
      </w:r>
      <w:r>
        <w:t xml:space="preserve"> Néant.</w:t>
      </w:r>
    </w:p>
    <w:p w14:paraId="0693B9F6" w14:textId="77777777" w:rsidR="00C913F4" w:rsidRDefault="00C913F4" w:rsidP="00C04C63">
      <w:pPr>
        <w:spacing w:before="240"/>
        <w:jc w:val="both"/>
      </w:pPr>
      <w:r w:rsidRPr="00C913F4">
        <w:rPr>
          <w:b/>
        </w:rPr>
        <w:t xml:space="preserve">A70 : </w:t>
      </w:r>
      <w:r w:rsidRPr="00C913F4">
        <w:t>une</w:t>
      </w:r>
      <w:r>
        <w:rPr>
          <w:b/>
        </w:rPr>
        <w:t xml:space="preserve"> </w:t>
      </w:r>
      <w:r w:rsidRPr="00C913F4">
        <w:t xml:space="preserve">personne </w:t>
      </w:r>
      <w:r>
        <w:t xml:space="preserve">physique peut être déchargée de ses dettes (dans les 3 mois suivant le jugement de clôture de la procédure judiciaire, par requête contradictoire) si elle est malheureuse, de bonne </w:t>
      </w:r>
      <w:r w:rsidR="00672536">
        <w:t>foi</w:t>
      </w:r>
      <w:r>
        <w:t>, et si le transfert a eu lieu dans sa totalité.</w:t>
      </w:r>
    </w:p>
    <w:p w14:paraId="0693B9F7" w14:textId="77777777" w:rsidR="00672536" w:rsidRDefault="00672536" w:rsidP="00C04C63">
      <w:pPr>
        <w:spacing w:before="240"/>
        <w:jc w:val="both"/>
      </w:pPr>
    </w:p>
    <w:p w14:paraId="0693B9F8" w14:textId="77777777" w:rsidR="0090231D" w:rsidRDefault="0090231D" w:rsidP="00266865">
      <w:pPr>
        <w:pStyle w:val="Titre1"/>
      </w:pPr>
      <w:bookmarkStart w:id="448" w:name="_Toc482815712"/>
      <w:r>
        <w:lastRenderedPageBreak/>
        <w:t>Loi sur les faillites</w:t>
      </w:r>
      <w:bookmarkEnd w:id="448"/>
    </w:p>
    <w:p w14:paraId="06D636D3" w14:textId="63020328" w:rsidR="00105A84" w:rsidRDefault="00105A84">
      <w:r>
        <w:br w:type="page"/>
      </w:r>
    </w:p>
    <w:p w14:paraId="381E8403" w14:textId="13A37A04" w:rsidR="00105A84" w:rsidRDefault="00105A84" w:rsidP="00105A84">
      <w:r>
        <w:lastRenderedPageBreak/>
        <w:t xml:space="preserve">Voir également le </w:t>
      </w:r>
      <w:hyperlink r:id="rId160" w:history="1">
        <w:r w:rsidRPr="00105A84">
          <w:rPr>
            <w:rStyle w:val="Lienhypertexte"/>
          </w:rPr>
          <w:t>travail d’é</w:t>
        </w:r>
        <w:r w:rsidRPr="00105A84">
          <w:rPr>
            <w:rStyle w:val="Lienhypertexte"/>
          </w:rPr>
          <w:t>t</w:t>
        </w:r>
        <w:r w:rsidRPr="00105A84">
          <w:rPr>
            <w:rStyle w:val="Lienhypertexte"/>
          </w:rPr>
          <w:t>udiant</w:t>
        </w:r>
      </w:hyperlink>
      <w:r>
        <w:t xml:space="preserve"> résumant cette loi.</w:t>
      </w:r>
    </w:p>
    <w:p w14:paraId="0693B9F9" w14:textId="77777777" w:rsidR="0090231D" w:rsidRDefault="0090231D" w:rsidP="00105A84">
      <w:pPr>
        <w:pStyle w:val="Titre2"/>
      </w:pPr>
      <w:bookmarkStart w:id="449" w:name="_Toc482815713"/>
      <w:r w:rsidRPr="00105A84">
        <w:t>Dispositions</w:t>
      </w:r>
      <w:r>
        <w:t xml:space="preserve"> </w:t>
      </w:r>
      <w:r w:rsidRPr="00105A84">
        <w:t>générales</w:t>
      </w:r>
      <w:bookmarkEnd w:id="449"/>
    </w:p>
    <w:p w14:paraId="0693B9FA" w14:textId="77777777" w:rsidR="00714C34" w:rsidRPr="00714C34" w:rsidRDefault="00714C34" w:rsidP="00714C34">
      <w:pPr>
        <w:jc w:val="both"/>
      </w:pPr>
      <w:r w:rsidRPr="00714C34">
        <w:rPr>
          <w:b/>
        </w:rPr>
        <w:t>Art. 2.</w:t>
      </w:r>
      <w:r>
        <w:t xml:space="preserve"> Tout commerçant qui a cessé ses paiements de manière persistante et dont le crédit se trouve ébranlé est en état de faillite. Celui qui n'exerce plus le commerce peut être déclaré en faillite, si la cessation de ses paiements remonte à une époque où il était encore commerçant. La faillite d'une personne physique peut être déclarée jusqu'à six mois après son décès, lorsqu'elle est décédée après avoir cessé ses paiements de manière persistante et que son crédit a été ébranlé. La faillite d'une personne morale dissoute peut être déclarée jusqu'à six mois après la clôture de la liquidation.</w:t>
      </w:r>
    </w:p>
    <w:p w14:paraId="0693B9FB" w14:textId="77777777" w:rsidR="00714C34" w:rsidRPr="00714C34" w:rsidRDefault="00714C34" w:rsidP="00714C34"/>
    <w:p w14:paraId="0693B9FC" w14:textId="77777777" w:rsidR="00714C34" w:rsidRDefault="0090231D" w:rsidP="00105A84">
      <w:pPr>
        <w:pStyle w:val="Titre2"/>
      </w:pPr>
      <w:bookmarkStart w:id="450" w:name="_Toc482815714"/>
      <w:r w:rsidRPr="00244048">
        <w:t>De l'aveu, de la déclaration de faillite et de la cessation de paiement</w:t>
      </w:r>
      <w:bookmarkEnd w:id="450"/>
    </w:p>
    <w:p w14:paraId="0693B9FD" w14:textId="77777777" w:rsidR="00714C34" w:rsidRDefault="00714C34" w:rsidP="00714C34">
      <w:pPr>
        <w:jc w:val="both"/>
      </w:pPr>
      <w:r w:rsidRPr="00714C34">
        <w:rPr>
          <w:b/>
        </w:rPr>
        <w:t>Art. 6.</w:t>
      </w:r>
      <w:r w:rsidR="008F7C79">
        <w:rPr>
          <w:b/>
        </w:rPr>
        <w:t xml:space="preserve"> </w:t>
      </w:r>
      <w:r>
        <w:t>Sans préjudice des dispositions de la loi relative à la continuité des entreprises, la faillite est déclarée par jugement du tribunal de commerce saisi soit sur l'aveu du commerçant, soit sur citation d'un ou plusieurs créanciers, du ministère public, etc.</w:t>
      </w:r>
    </w:p>
    <w:p w14:paraId="0693B9FE" w14:textId="77777777" w:rsidR="00714C34" w:rsidRDefault="00714C34" w:rsidP="00714C34">
      <w:pPr>
        <w:jc w:val="both"/>
      </w:pPr>
    </w:p>
    <w:p w14:paraId="0693B9FF" w14:textId="77777777" w:rsidR="00714C34" w:rsidRDefault="00714C34" w:rsidP="008F7C79">
      <w:pPr>
        <w:jc w:val="both"/>
      </w:pPr>
      <w:r w:rsidRPr="008F7C79">
        <w:rPr>
          <w:b/>
        </w:rPr>
        <w:t>Art. 7.</w:t>
      </w:r>
      <w:r w:rsidR="008F7C79">
        <w:rPr>
          <w:b/>
        </w:rPr>
        <w:t xml:space="preserve"> </w:t>
      </w:r>
      <w:r>
        <w:t>Tant en cas d'aveu qu'en cas de demande en faillite, le tribunal de commerce peut suspendre</w:t>
      </w:r>
      <w:r w:rsidR="008F7C79">
        <w:t xml:space="preserve"> </w:t>
      </w:r>
      <w:r>
        <w:t xml:space="preserve">sa décision pour un délai de quinze jours </w:t>
      </w:r>
      <w:r w:rsidR="008F7C79">
        <w:t xml:space="preserve">pendant lequel le commerçant </w:t>
      </w:r>
      <w:r>
        <w:t>peut introduire une demande en réorganisation judiciaire ou pendant lequel le procureur du Roi, un créancier ou toute personne ayant intérêt à acquérir tout ou partie de l'entreprise du commerçant peut introduire une demande en réorganisation judiciaire par tran</w:t>
      </w:r>
      <w:r w:rsidR="008F7C79">
        <w:t>sfert sous autorité de justice</w:t>
      </w:r>
      <w:r>
        <w:t>.</w:t>
      </w:r>
    </w:p>
    <w:p w14:paraId="0693BA00" w14:textId="77777777" w:rsidR="00440050" w:rsidRDefault="00440050" w:rsidP="008F7C79">
      <w:pPr>
        <w:jc w:val="both"/>
      </w:pPr>
    </w:p>
    <w:p w14:paraId="0693BA01" w14:textId="77777777" w:rsidR="00440050" w:rsidRDefault="00440050" w:rsidP="00440050">
      <w:pPr>
        <w:jc w:val="both"/>
      </w:pPr>
      <w:r w:rsidRPr="00440050">
        <w:rPr>
          <w:b/>
        </w:rPr>
        <w:t>Art. 8.</w:t>
      </w:r>
      <w:r>
        <w:t xml:space="preserve"> Lorsqu'il existe des indices graves, précis et concordants que les conditions de la faillite sont réunies, et qu'il y a urgence, le président du tribunal de commerce peut dessaisir en tout ou en partie le commerçant ou la société de commerce de la gestion de tout ou partie de ses biens.</w:t>
      </w:r>
    </w:p>
    <w:p w14:paraId="0693BA02" w14:textId="77777777" w:rsidR="00EF0568" w:rsidRDefault="00EF0568" w:rsidP="00EF0568">
      <w:pPr>
        <w:jc w:val="both"/>
      </w:pPr>
      <w:r>
        <w:t xml:space="preserve">Le président statue, soit sur requête unilatérale de tout intéressé, soit d'office. </w:t>
      </w:r>
    </w:p>
    <w:p w14:paraId="0693BA03" w14:textId="77777777" w:rsidR="00EF0568" w:rsidRDefault="00EF0568" w:rsidP="00EF0568">
      <w:pPr>
        <w:jc w:val="both"/>
      </w:pPr>
      <w:r>
        <w:t xml:space="preserve">Le président désigne un ou plusieurs administrateurs provisoires ayant de l'expérience en matière de gestion d'entreprise et de comptabilité et précise leurs pouvoirs. Ceux-ci ne comprennent pas celui de faire l'aveu de la faillite ni celui de représenter (le commerçant ou la société de commerce) dans une procédure en faillite. </w:t>
      </w:r>
    </w:p>
    <w:p w14:paraId="0693BA04" w14:textId="77777777" w:rsidR="00EF0568" w:rsidRDefault="00EF0568" w:rsidP="00EF0568">
      <w:pPr>
        <w:jc w:val="both"/>
      </w:pPr>
      <w:r>
        <w:t xml:space="preserve">L'administrateur provisoire désigné doit offrir des garanties d'indépendance et d'impartialité. </w:t>
      </w:r>
    </w:p>
    <w:p w14:paraId="0693BA05" w14:textId="77777777" w:rsidR="00EF0568" w:rsidRDefault="00EF0568" w:rsidP="00EF0568">
      <w:pPr>
        <w:jc w:val="both"/>
      </w:pPr>
      <w:r>
        <w:t xml:space="preserve">L'intéressé devra être tenu par un code déontologique et sa responsabilité professionnelle devra être couverte par une assurance. </w:t>
      </w:r>
    </w:p>
    <w:p w14:paraId="0693BA06" w14:textId="77777777" w:rsidR="00EF0568" w:rsidRDefault="00EF0568" w:rsidP="00EF0568">
      <w:pPr>
        <w:jc w:val="both"/>
      </w:pPr>
      <w:r>
        <w:t xml:space="preserve">L'ordonnance de dessaisissement ne conserve d'effet que dans la mesure où, dans les (quinze) jours de son prononcé, une demande en faillite est introduite soit par la partie demanderesse soit par les administrateurs provisoires dans le cas où le président a statué d'office. </w:t>
      </w:r>
    </w:p>
    <w:p w14:paraId="0693BA07" w14:textId="77777777" w:rsidR="00EF0568" w:rsidRDefault="00EF0568" w:rsidP="00EF0568">
      <w:pPr>
        <w:jc w:val="both"/>
      </w:pPr>
      <w:r>
        <w:t>La décision cesse de plein droit de produire des effets si un jugement de faillite n'est pas prononcé dans les quatre mois de l'introduction de la demande.</w:t>
      </w:r>
    </w:p>
    <w:p w14:paraId="0693BA08" w14:textId="77777777" w:rsidR="00670D39" w:rsidRDefault="00670D39" w:rsidP="00EF0568">
      <w:pPr>
        <w:jc w:val="both"/>
      </w:pPr>
    </w:p>
    <w:p w14:paraId="0693BA09" w14:textId="77777777" w:rsidR="00670D39" w:rsidRDefault="00670D39" w:rsidP="00670D39">
      <w:pPr>
        <w:jc w:val="both"/>
      </w:pPr>
      <w:r w:rsidRPr="00670D39">
        <w:rPr>
          <w:b/>
        </w:rPr>
        <w:t>Art. 9.</w:t>
      </w:r>
      <w:r>
        <w:t xml:space="preserve"> Tout commerçant est tenu, dans le mois de la cessation de ses paiements, d'en faire l'aveu au greffe du tribunal compétent.</w:t>
      </w:r>
    </w:p>
    <w:p w14:paraId="0693BA0A" w14:textId="77777777" w:rsidR="00670D39" w:rsidRDefault="00670D39" w:rsidP="00670D39">
      <w:pPr>
        <w:jc w:val="both"/>
      </w:pPr>
    </w:p>
    <w:p w14:paraId="0693BA0B" w14:textId="77777777" w:rsidR="00DB12ED" w:rsidRDefault="00DB12ED" w:rsidP="00DB12ED">
      <w:pPr>
        <w:jc w:val="both"/>
      </w:pPr>
      <w:r w:rsidRPr="00DB12ED">
        <w:rPr>
          <w:b/>
        </w:rPr>
        <w:t>Art. 10.</w:t>
      </w:r>
      <w:r>
        <w:t xml:space="preserve"> Le commerçant joint à son aveu : </w:t>
      </w:r>
    </w:p>
    <w:p w14:paraId="0693BA0C" w14:textId="77777777" w:rsidR="00DB12ED" w:rsidRDefault="00DB12ED" w:rsidP="00DB12ED">
      <w:pPr>
        <w:jc w:val="both"/>
      </w:pPr>
      <w:r>
        <w:t xml:space="preserve">1° le bilan de ses affaires ou une note indiquant les motifs qui l'empêchent de le déposer; </w:t>
      </w:r>
    </w:p>
    <w:p w14:paraId="0693BA0D" w14:textId="77777777" w:rsidR="00DB12ED" w:rsidRDefault="00DB12ED" w:rsidP="00DB12ED">
      <w:pPr>
        <w:jc w:val="both"/>
      </w:pPr>
      <w:r>
        <w:t xml:space="preserve">2° les livres exigés par le Chapitre premier de la loi du 17 juillet 1975 relative à la comptabilité et aux comptes annuels des entreprises; ces registres sont arrêtés par le greffier, qui constate l'état où ils se trouvent ou une note indiquant les motifs qui empêchent le dépôt de ces pièces. </w:t>
      </w:r>
    </w:p>
    <w:p w14:paraId="0693BA0E" w14:textId="77777777" w:rsidR="00DB12ED" w:rsidRDefault="00DB12ED" w:rsidP="00DB12ED">
      <w:pPr>
        <w:jc w:val="both"/>
      </w:pPr>
      <w:r>
        <w:t xml:space="preserve">3° s'il occupe ou a occupé du personnel au cours des dix-huit derniers mois, le registre du personnel, le compte individuel prévu par l'article 4, § 1er, 2°, de l'arrêté royal n° 5 du 23 octobre 1978 relatif à la tenue des documents sociaux, tant celui de l'année civile écoulée que celui de l'année civile en cours, les données relatives au secrétariat social et aux caisses sociales auxquels </w:t>
      </w:r>
      <w:r>
        <w:lastRenderedPageBreak/>
        <w:t xml:space="preserve">l'entreprise est affiliée, l'identité des membres du comité pour la prévention et la sécurité au </w:t>
      </w:r>
      <w:r w:rsidR="00746807">
        <w:t>t</w:t>
      </w:r>
      <w:r>
        <w:t xml:space="preserve">ravail et des membres de la délégation syndicale, ainsi que, le cas échéant, le code d'accès que l'Office national de la Sécurité sociale a attribué au commerçant et qui permet de consulter le registre électronique du personnel et donne accès aux autres données d'identification nécessaires.) </w:t>
      </w:r>
    </w:p>
    <w:p w14:paraId="0693BA0F" w14:textId="77777777" w:rsidR="00DB12ED" w:rsidRDefault="00DB12ED" w:rsidP="00DB12ED">
      <w:pPr>
        <w:jc w:val="both"/>
      </w:pPr>
      <w:r>
        <w:t xml:space="preserve">4° la liste mentionnant le nom et l'adresse des clients et des fournisseurs. </w:t>
      </w:r>
    </w:p>
    <w:p w14:paraId="0693BA10" w14:textId="77777777" w:rsidR="00DB12ED" w:rsidRDefault="00DB12ED" w:rsidP="00DB12ED">
      <w:pPr>
        <w:jc w:val="both"/>
      </w:pPr>
      <w:r>
        <w:t>5° la liste mentionnant le nom et l'adresse des personnes physiques qui, à titre gratuit, se sont constituées sûreté personnelle du commerçant.</w:t>
      </w:r>
    </w:p>
    <w:p w14:paraId="0693BA11" w14:textId="77777777" w:rsidR="00DB12ED" w:rsidRDefault="00DB12ED" w:rsidP="00DB12ED">
      <w:pPr>
        <w:jc w:val="both"/>
      </w:pPr>
    </w:p>
    <w:p w14:paraId="0693BA12" w14:textId="77777777" w:rsidR="00DB12ED" w:rsidRDefault="001764EB" w:rsidP="001764EB">
      <w:pPr>
        <w:jc w:val="both"/>
      </w:pPr>
      <w:r w:rsidRPr="001764EB">
        <w:rPr>
          <w:b/>
        </w:rPr>
        <w:t>Art. 11.</w:t>
      </w:r>
      <w:r>
        <w:t xml:space="preserve"> Par le jugement qui déclare la faillite, le tribunal de commerce nomme, parmi ses membres, le président excepté, un juge-commissaire. Le tribunal de commerce désigne un ou plusieurs curateurs, selon l'importance de la faillite. Il ordonne le cas échéant une descente sur les lieux, du juge-commissaire, des curateurs et du greffier. Il ordonne aux créanciers du failli de faire au greffe la déclaration de leurs créances dans un délai qui ne peut excéder trente jours à compter du jugement déclaratif de faillite, et il ordonne la publication visée à l'article 38.</w:t>
      </w:r>
    </w:p>
    <w:p w14:paraId="0693BA13" w14:textId="77777777" w:rsidR="00144060" w:rsidRDefault="00144060" w:rsidP="001764EB">
      <w:pPr>
        <w:jc w:val="both"/>
      </w:pPr>
    </w:p>
    <w:p w14:paraId="0693BA14" w14:textId="77777777" w:rsidR="00A4400B" w:rsidRDefault="00A4400B" w:rsidP="00A4400B">
      <w:pPr>
        <w:jc w:val="both"/>
      </w:pPr>
      <w:r w:rsidRPr="00A4400B">
        <w:rPr>
          <w:b/>
        </w:rPr>
        <w:t>Art. 12.</w:t>
      </w:r>
      <w:r>
        <w:t xml:space="preserve"> La cessation de paiement est réputée avoir lieu à partir du jugement déclaratif de faillite, ou à partir du décès, quand la faillite est déclarée après le décès du failli. </w:t>
      </w:r>
    </w:p>
    <w:p w14:paraId="0693BA15" w14:textId="77777777" w:rsidR="00A4400B" w:rsidRDefault="00A4400B" w:rsidP="00A4400B">
      <w:pPr>
        <w:jc w:val="both"/>
      </w:pPr>
      <w:r>
        <w:t xml:space="preserve">Le tribunal ne peut fixer à une date antérieure la cessation de paiement, sauf si des éléments sérieux et objectifs indiquent clairement que la cessation de paiement a eu lieu avant le jugement; ces éléments doivent être mentionnés dans le jugement. </w:t>
      </w:r>
    </w:p>
    <w:p w14:paraId="0693BA16" w14:textId="77777777" w:rsidR="00A4400B" w:rsidRDefault="00A4400B" w:rsidP="00A4400B">
      <w:pPr>
        <w:jc w:val="both"/>
      </w:pPr>
      <w:r>
        <w:t xml:space="preserve">Le tribunal peut, sur citation des curateurs dirigée contre le failli ou sur citation de tout intéressé dirigée contre le failli et les curateurs, modifier ultérieurement la date de cessation de paiement. </w:t>
      </w:r>
    </w:p>
    <w:p w14:paraId="0693BA17" w14:textId="77777777" w:rsidR="00A4400B" w:rsidRDefault="00A4400B" w:rsidP="00A4400B">
      <w:pPr>
        <w:jc w:val="both"/>
      </w:pPr>
      <w:r>
        <w:t xml:space="preserve">Le jugement mentionne les données sur lesquelles le tribunal s'est fondé pour déterminer la date de la cessation de paiement. </w:t>
      </w:r>
    </w:p>
    <w:p w14:paraId="0693BA18" w14:textId="77777777" w:rsidR="00A4400B" w:rsidRDefault="00A4400B" w:rsidP="00A4400B">
      <w:pPr>
        <w:jc w:val="both"/>
      </w:pPr>
      <w:r>
        <w:t xml:space="preserve">Aucune demande tendant à faire fixer la cessation de paiement à une époque, autre que celle qui résulte du jugement déclaratif ou d'un jugement ultérieur, n'est recevable plus de six mois après le jugement déclaratif de faillite, sans préjudice toutefois de l'exercice des voies de recours contre le jugement déclaratif de faillite. </w:t>
      </w:r>
    </w:p>
    <w:p w14:paraId="0693BA19" w14:textId="77777777" w:rsidR="00144060" w:rsidRDefault="00A4400B" w:rsidP="00A4400B">
      <w:pPr>
        <w:jc w:val="both"/>
      </w:pPr>
      <w:r>
        <w:t>Le jugement ne peut fixer la date de la cessation de paiement à une date précédant de plus de six mois le jugement déclaratif de faillite, sauf si ce jugement a trait à une faillite d'une personne morale dissoute plus de six mois avant le jugement déclaratif de faillite, dont la liquidation est clôturée ou non, et s'il existe des indices qu'elle a été ou est menée dans l'intention de nuire aux créanciers. Dans ce cas, la date de la cessation de paiement peut être fixée au jour de la décision de dissolution.</w:t>
      </w:r>
    </w:p>
    <w:p w14:paraId="0693BA1A" w14:textId="77777777" w:rsidR="001764EB" w:rsidRDefault="001764EB" w:rsidP="001764EB">
      <w:pPr>
        <w:jc w:val="both"/>
      </w:pPr>
    </w:p>
    <w:p w14:paraId="0693BA1B" w14:textId="77777777" w:rsidR="0098583E" w:rsidRDefault="0098583E" w:rsidP="0098583E">
      <w:pPr>
        <w:jc w:val="both"/>
      </w:pPr>
      <w:r w:rsidRPr="0098583E">
        <w:rPr>
          <w:b/>
        </w:rPr>
        <w:t>Art. 14.</w:t>
      </w:r>
      <w:r>
        <w:t xml:space="preserve"> Tout jugement déclaratif de faillite ou fixant la date de cessation de paiement est exécutoire par provision et sur minute dès la prononciation. </w:t>
      </w:r>
    </w:p>
    <w:p w14:paraId="0693BA1C" w14:textId="77777777" w:rsidR="0098583E" w:rsidRDefault="0098583E" w:rsidP="0098583E">
      <w:pPr>
        <w:jc w:val="both"/>
      </w:pPr>
      <w:r>
        <w:t xml:space="preserve">Les jugements prévus à l'alinéa premier sont susceptibles d'opposition par les parties défaillantes et de tierce opposition de la part des intéressés qui n'y ont pas été parties. </w:t>
      </w:r>
    </w:p>
    <w:p w14:paraId="0693BA1D" w14:textId="77777777" w:rsidR="0098583E" w:rsidRDefault="0098583E" w:rsidP="0098583E">
      <w:pPr>
        <w:jc w:val="both"/>
      </w:pPr>
      <w:r>
        <w:t xml:space="preserve">L'opposition à ces décisions n'est recevable que si elle est formée dans les quinze jours de la signification du jugement. La tierce opposition n'est recevable que si elle est formée dans les quinze jours de l'insertion des extraits du jugement au Moniteur belge. </w:t>
      </w:r>
    </w:p>
    <w:p w14:paraId="0693BA1E" w14:textId="77777777" w:rsidR="0098583E" w:rsidRDefault="0098583E" w:rsidP="0098583E">
      <w:pPr>
        <w:jc w:val="both"/>
      </w:pPr>
      <w:r>
        <w:t>Le délai pour interjeter appel des jugements visés à l'alinéa premier est de quinze jours à compter de la publication au Moniteur belge visée à l'article 38 ou, si l'appel émane du failli, de quinze jours à compter de la signification du jugement.</w:t>
      </w:r>
    </w:p>
    <w:p w14:paraId="0693BA1F" w14:textId="77777777" w:rsidR="00670D39" w:rsidRPr="00714C34" w:rsidRDefault="00DB12ED" w:rsidP="00DB12ED">
      <w:pPr>
        <w:jc w:val="both"/>
      </w:pPr>
      <w:r>
        <w:t xml:space="preserve">  </w:t>
      </w:r>
    </w:p>
    <w:p w14:paraId="0693BA20" w14:textId="77777777" w:rsidR="0090231D" w:rsidRDefault="0090231D" w:rsidP="00105A84">
      <w:pPr>
        <w:pStyle w:val="Titre2"/>
      </w:pPr>
      <w:bookmarkStart w:id="451" w:name="_Toc482815715"/>
      <w:r w:rsidRPr="00244048">
        <w:t>Des effets de la faillite</w:t>
      </w:r>
      <w:bookmarkEnd w:id="451"/>
    </w:p>
    <w:p w14:paraId="0693BA21" w14:textId="77777777" w:rsidR="00DD2F48" w:rsidRDefault="00DD2F48" w:rsidP="007B678F">
      <w:pPr>
        <w:jc w:val="both"/>
      </w:pPr>
      <w:r w:rsidRPr="00DD2F48">
        <w:rPr>
          <w:b/>
        </w:rPr>
        <w:t>Art. 16.</w:t>
      </w:r>
      <w:r>
        <w:t xml:space="preserve"> Le failli, à compter du jour du jugement déclaratif de la faillite, est dessaisi de plein droit de l'administration de tous ses biens, même de ceux qui peuvent lui échoir tant qu'il est en état de faillite. </w:t>
      </w:r>
    </w:p>
    <w:p w14:paraId="0693BA22" w14:textId="77777777" w:rsidR="00DD2F48" w:rsidRDefault="00DD2F48" w:rsidP="007B678F">
      <w:pPr>
        <w:jc w:val="both"/>
      </w:pPr>
      <w:r>
        <w:t xml:space="preserve">Tous paiements, opérations et actes faits par le failli, et tous paiements faits au failli depuis ce jour sont inopposables à la masse. </w:t>
      </w:r>
    </w:p>
    <w:p w14:paraId="0693BA23" w14:textId="77777777" w:rsidR="00DD2F48" w:rsidRDefault="00DD2F48" w:rsidP="007B678F">
      <w:pPr>
        <w:jc w:val="both"/>
      </w:pPr>
      <w:r>
        <w:t xml:space="preserve">Les biens visés à l'article 1408, du Code judiciaire, à l'exception des biens indispensables à la profession du saisi, visés au 3° de cet article, sont exclus de l'actif de la faillite le failli en conserve l'administration ainsi que la disposition. </w:t>
      </w:r>
    </w:p>
    <w:p w14:paraId="0693BA24" w14:textId="77777777" w:rsidR="00DD2F48" w:rsidRDefault="00DD2F48" w:rsidP="007B678F">
      <w:pPr>
        <w:jc w:val="both"/>
      </w:pPr>
      <w:r>
        <w:lastRenderedPageBreak/>
        <w:t xml:space="preserve">Sont également exclus de l'actif de la faillite les montants, sommes et paiements que le failli recueille à partir de la déclaration de la faillite, pour autant qu'ils soient insaisissables en vertu des articles 1409 à 1412 du Code judiciaire ou en vertu de lois particulières. </w:t>
      </w:r>
    </w:p>
    <w:p w14:paraId="0693BA25" w14:textId="77777777" w:rsidR="0098583E" w:rsidRDefault="00DD2F48" w:rsidP="007B678F">
      <w:pPr>
        <w:jc w:val="both"/>
      </w:pPr>
      <w:r>
        <w:t>Sont également exclues de l'actif de la faillite, les indemnités accordées au failli pour la réparation du préjudice lié à la personne et causé par un acte illicite.</w:t>
      </w:r>
    </w:p>
    <w:p w14:paraId="0693BA26" w14:textId="77777777" w:rsidR="007B678F" w:rsidRDefault="007B678F" w:rsidP="00DD2F48"/>
    <w:p w14:paraId="0693BA27" w14:textId="77777777" w:rsidR="007B678F" w:rsidRPr="0098583E" w:rsidRDefault="007B678F" w:rsidP="007B678F">
      <w:pPr>
        <w:jc w:val="both"/>
      </w:pPr>
      <w:r w:rsidRPr="007B678F">
        <w:rPr>
          <w:b/>
        </w:rPr>
        <w:t>Art. 26.</w:t>
      </w:r>
      <w:r>
        <w:t xml:space="preserve"> Toutes voies d'exécution, pour parvenir au paiement des créances privilégiées sur les meubles dépendant de la faillite, seront suspendues jusqu'à (le dépôt du premier procès-verbal de vérification) des créances, sans préjudice de toute mesure conservatoire et du droit qui serait acquis au propriétaire des lieux loués d'en reprendre possession.</w:t>
      </w:r>
    </w:p>
    <w:p w14:paraId="0693BA28" w14:textId="77777777" w:rsidR="0090231D" w:rsidRDefault="0090231D" w:rsidP="00105A84">
      <w:pPr>
        <w:pStyle w:val="Titre2"/>
      </w:pPr>
      <w:bookmarkStart w:id="452" w:name="_Toc482815716"/>
      <w:r w:rsidRPr="00244048">
        <w:t>De l'administration et de la liquidation de la faillite</w:t>
      </w:r>
      <w:bookmarkEnd w:id="452"/>
    </w:p>
    <w:p w14:paraId="0693BA29" w14:textId="77777777" w:rsidR="002042EA" w:rsidRDefault="002042EA" w:rsidP="002042EA">
      <w:pPr>
        <w:jc w:val="both"/>
      </w:pPr>
      <w:r w:rsidRPr="002042EA">
        <w:rPr>
          <w:b/>
        </w:rPr>
        <w:t>Art. 27.</w:t>
      </w:r>
      <w:r>
        <w:t xml:space="preserve"> Les curateurs sont choisis parmi les personnes inscrites sur une liste établie par l'assemblée générale du tribunal de commerce du ressort qui prononce la faillite. A cette fin, les membres de l'assemblée générale peuvent voter eux-mêmes ou par procuration. Par décision motivée, il peut être désigné un ou plusieurs curateurs inscrits sur une liste établie par l'assemblée générale d'un autre tribunal de commerce, en raison du caractère spécifique de la faillite.</w:t>
      </w:r>
    </w:p>
    <w:p w14:paraId="0693BA2A" w14:textId="77777777" w:rsidR="002042EA" w:rsidRDefault="002042EA" w:rsidP="002042EA">
      <w:pPr>
        <w:jc w:val="both"/>
      </w:pPr>
      <w:r>
        <w:t xml:space="preserve">Peuvent seuls être admis sur la liste visée à l'alinéa premier, les avocats inscrits au tableau de l'Ordre des avocats dans l'arrondissement judiciaire où siège le tribunal de commerce, justifiant d'une formation particulière et présentant des garanties de compétence en matière de procédures de liquidation. </w:t>
      </w:r>
    </w:p>
    <w:p w14:paraId="0693BA2B" w14:textId="77777777" w:rsidR="002042EA" w:rsidRDefault="002042EA" w:rsidP="002042EA">
      <w:pPr>
        <w:jc w:val="both"/>
      </w:pPr>
      <w:r>
        <w:t>La liste précise également, pour chaque inscrit, pour quelles faillites il a déjà été désigné en qualité de curateur. En tout état de cause, elle mentionne le nom du failli, la date de la désignation du curateur et, le cas échéant, la date à laquelle sa mission a pris fin. La liste peut être consultée sans frais.</w:t>
      </w:r>
    </w:p>
    <w:p w14:paraId="0693BA2C" w14:textId="77777777" w:rsidR="002042EA" w:rsidRDefault="002042EA" w:rsidP="002042EA">
      <w:pPr>
        <w:jc w:val="both"/>
      </w:pPr>
    </w:p>
    <w:p w14:paraId="0693BA2D" w14:textId="77777777" w:rsidR="00060333" w:rsidRDefault="00060333" w:rsidP="00060333">
      <w:pPr>
        <w:jc w:val="both"/>
      </w:pPr>
      <w:r w:rsidRPr="00060333">
        <w:rPr>
          <w:b/>
        </w:rPr>
        <w:t>Art. 31.</w:t>
      </w:r>
      <w:r>
        <w:t xml:space="preserve"> Le tribunal de commerce peut, à tout moment, remplacer le juge-commissaire par un autre de ses membres ainsi que remplacer les curateurs ou l'un d'eux, en augmenter ou en diminuer le nombre. </w:t>
      </w:r>
    </w:p>
    <w:p w14:paraId="0693BA2F" w14:textId="27B64994" w:rsidR="00060333" w:rsidRDefault="00060333" w:rsidP="00060333">
      <w:pPr>
        <w:jc w:val="both"/>
      </w:pPr>
      <w:r>
        <w:t xml:space="preserve">Les curateurs dont le remplacement est envisagé, sont préalablement appelés et, après rapport du juge-commissaire, entendus en chambre du Conseil. Le jugement est prononcé en audience publique. </w:t>
      </w:r>
    </w:p>
    <w:p w14:paraId="0693BA30" w14:textId="77777777" w:rsidR="002042EA" w:rsidRDefault="00060333" w:rsidP="00060333">
      <w:pPr>
        <w:jc w:val="both"/>
      </w:pPr>
      <w:r>
        <w:t>Le jugement ordonnant le remplacement d'un curateur lui est notifié à la diligence du greffier. Il est, à la diligence du greffier du tribunal de commerce et dans les cinq jours de sa date, publié par extrait au Moniteur belge.</w:t>
      </w:r>
    </w:p>
    <w:p w14:paraId="0693BA31" w14:textId="77777777" w:rsidR="00060333" w:rsidRPr="00F4353E" w:rsidRDefault="00060333" w:rsidP="00060333">
      <w:pPr>
        <w:jc w:val="both"/>
        <w:rPr>
          <w:b/>
        </w:rPr>
      </w:pPr>
    </w:p>
    <w:p w14:paraId="0693BA32" w14:textId="77777777" w:rsidR="00F4353E" w:rsidRDefault="00F4353E" w:rsidP="00F4353E">
      <w:pPr>
        <w:jc w:val="both"/>
      </w:pPr>
      <w:r w:rsidRPr="00F4353E">
        <w:rPr>
          <w:b/>
        </w:rPr>
        <w:t>Art. 33.</w:t>
      </w:r>
      <w:r>
        <w:t xml:space="preserve"> Les honoraires des curateurs sont fixés en fonction de l'importance et de la complexité de leur mission. Ils ne peuvent être fixés exclusivement sous la forme d'une indemnité proportionnelle aux actifs réalisés. Les règles et barèmes relatifs à la fixation des honoraires sont établis par le Roi. Le Roi détermine les prestations et frais couverts par les honoraires. Le Roi peut également déterminer les frais pouvant faire l'objet d'une indemnisation séparée, ainsi que les modalités de leur arbitrage. </w:t>
      </w:r>
    </w:p>
    <w:p w14:paraId="0693BA33" w14:textId="77777777" w:rsidR="00F4353E" w:rsidRDefault="00F4353E" w:rsidP="00F4353E">
      <w:pPr>
        <w:jc w:val="both"/>
      </w:pPr>
      <w:r>
        <w:t xml:space="preserve">Un relevé détaillé des prestations à rémunérer est joint à toute demande d'honoraires. </w:t>
      </w:r>
    </w:p>
    <w:p w14:paraId="0693BA34" w14:textId="77777777" w:rsidR="00060333" w:rsidRDefault="00F4353E" w:rsidP="00F4353E">
      <w:pPr>
        <w:jc w:val="both"/>
      </w:pPr>
      <w:r>
        <w:t>Le juge peut fixer des frais et honoraires provisionnels à la demande des curateurs et de l'avis conforme du juge-commissaire.</w:t>
      </w:r>
    </w:p>
    <w:p w14:paraId="0693BA35" w14:textId="77777777" w:rsidR="00F4353E" w:rsidRDefault="00F4353E" w:rsidP="00F4353E">
      <w:pPr>
        <w:jc w:val="both"/>
      </w:pPr>
    </w:p>
    <w:p w14:paraId="0693BA36" w14:textId="77777777" w:rsidR="007C4D2C" w:rsidRDefault="007C4D2C" w:rsidP="009378DB">
      <w:pPr>
        <w:jc w:val="both"/>
      </w:pPr>
      <w:r w:rsidRPr="009378DB">
        <w:rPr>
          <w:b/>
        </w:rPr>
        <w:t>Art. 34.</w:t>
      </w:r>
      <w:r>
        <w:t xml:space="preserve"> Chaque année et pour la première fois douze mois aprè</w:t>
      </w:r>
      <w:r w:rsidR="009378DB">
        <w:t xml:space="preserve">s leur entrée en fonction, les </w:t>
      </w:r>
      <w:r>
        <w:t xml:space="preserve">curateurs remettent au juge-commissaire un état détaillé de la situation de la faillite. </w:t>
      </w:r>
    </w:p>
    <w:p w14:paraId="0693BA37" w14:textId="77777777" w:rsidR="007C4D2C" w:rsidRDefault="007C4D2C" w:rsidP="007C4D2C">
      <w:pPr>
        <w:jc w:val="both"/>
      </w:pPr>
      <w:r>
        <w:t xml:space="preserve">Cet état, qui comporte notamment l'indication des recettes, des dépenses, des répartitions, ainsi que de ce qu'il reste à liquider, est déposé au dossier de la faillite. L'état des contestations des créances est également précisé. </w:t>
      </w:r>
    </w:p>
    <w:p w14:paraId="0693BA38" w14:textId="77777777" w:rsidR="007C4D2C" w:rsidRDefault="007C4D2C" w:rsidP="009378DB">
      <w:pPr>
        <w:jc w:val="both"/>
      </w:pPr>
      <w:r>
        <w:t xml:space="preserve">Une copie de chaque état est déposée au greffe et versée au dossier de la faillite. </w:t>
      </w:r>
    </w:p>
    <w:p w14:paraId="0693BA39" w14:textId="77777777" w:rsidR="00F4353E" w:rsidRDefault="007C4D2C" w:rsidP="007C4D2C">
      <w:pPr>
        <w:jc w:val="both"/>
      </w:pPr>
      <w:r>
        <w:t xml:space="preserve">A la fin de chaque année civile, les curateurs déposent en tout cas </w:t>
      </w:r>
      <w:r w:rsidR="009378DB">
        <w:t xml:space="preserve">une déclaration récapitulative </w:t>
      </w:r>
      <w:r>
        <w:t>concernant la T.V.A. relative aux contrats.</w:t>
      </w:r>
    </w:p>
    <w:p w14:paraId="0693BA3A" w14:textId="77777777" w:rsidR="007D2F82" w:rsidRDefault="007D2F82" w:rsidP="007C4D2C">
      <w:pPr>
        <w:jc w:val="both"/>
      </w:pPr>
    </w:p>
    <w:p w14:paraId="0693BA3B" w14:textId="77777777" w:rsidR="007D2F82" w:rsidRDefault="007D2F82" w:rsidP="007D2F82">
      <w:pPr>
        <w:jc w:val="both"/>
      </w:pPr>
      <w:r w:rsidRPr="007D2F82">
        <w:rPr>
          <w:b/>
        </w:rPr>
        <w:lastRenderedPageBreak/>
        <w:t>Art. 35.</w:t>
      </w:r>
      <w:r>
        <w:t xml:space="preserve"> Le juge-commissaire est chargé spécialement d'accélérer et de surveiller les opérations, la gestion et la liquidation de la faillite (, et en particulier le règlement des créances des travailleurs du failli); il fait rapport à l'audience de toutes les contestations nées de la faillite, sauf l'exception prévue à l'alinéa 6; il ordonne les mesures urgentes qui sont nécessaires pour la sûreté et la conservation des biens de la masse, et il préside les réunions des créanciers du failli. </w:t>
      </w:r>
    </w:p>
    <w:p w14:paraId="0693BA3C" w14:textId="77777777" w:rsidR="007D2F82" w:rsidRDefault="007D2F82" w:rsidP="007D2F82">
      <w:pPr>
        <w:jc w:val="both"/>
      </w:pPr>
      <w:r>
        <w:t xml:space="preserve">En cas d'empêchement du juge-commissaire, le président du tribunal ordonne son remplacement. </w:t>
      </w:r>
    </w:p>
    <w:p w14:paraId="0693BA3D" w14:textId="77777777" w:rsidR="007D2F82" w:rsidRDefault="007D2F82" w:rsidP="007D2F82">
      <w:pPr>
        <w:jc w:val="both"/>
      </w:pPr>
      <w:r>
        <w:t>Lorsque le juge-commissaire fait rapport sur les contestations nées de la faillite, il ne peut faire partie du siège.</w:t>
      </w:r>
    </w:p>
    <w:p w14:paraId="0693BA3E" w14:textId="77777777" w:rsidR="007D2F82" w:rsidRDefault="007D2F82" w:rsidP="007D2F82">
      <w:pPr>
        <w:jc w:val="both"/>
      </w:pPr>
    </w:p>
    <w:p w14:paraId="0693BA40" w14:textId="173187AA" w:rsidR="004D6A55" w:rsidRDefault="004D6A55" w:rsidP="004D6A55">
      <w:pPr>
        <w:jc w:val="both"/>
      </w:pPr>
      <w:r>
        <w:t xml:space="preserve">  </w:t>
      </w:r>
      <w:r w:rsidRPr="004D6A55">
        <w:rPr>
          <w:b/>
        </w:rPr>
        <w:t>Art. 38.</w:t>
      </w:r>
      <w:r>
        <w:rPr>
          <w:b/>
        </w:rPr>
        <w:t xml:space="preserve"> </w:t>
      </w:r>
      <w:r>
        <w:t xml:space="preserve">Le jugement déclaratif de la faillite et celui qui a fixé ultérieurement la cessation des paiements sont, par les soins du greffier et dans les cinq jours de leur date, publiés par extraits au Moniteur belge et, par les soins des curateurs et dans ce même délai, publiés dans au moins deux journaux ou périodiques ayant une diffusion régionale. </w:t>
      </w:r>
    </w:p>
    <w:p w14:paraId="0693BA41" w14:textId="77777777" w:rsidR="004D6A55" w:rsidRDefault="004D6A55" w:rsidP="004D6A55">
      <w:pPr>
        <w:jc w:val="both"/>
      </w:pPr>
      <w:r>
        <w:t xml:space="preserve">Ces extraits contiennent : </w:t>
      </w:r>
    </w:p>
    <w:p w14:paraId="0693BA42" w14:textId="77777777" w:rsidR="004D6A55" w:rsidRDefault="004D6A55" w:rsidP="004D6A55">
      <w:pPr>
        <w:jc w:val="both"/>
      </w:pPr>
      <w:r>
        <w:t xml:space="preserve">1. les nom, prénoms, lieu et date de naissance, la nature de l'activité commerciale principale ainsi que la dénomination sous laquelle cette activité est exercée, l'adresse ainsi que le lieu du principal </w:t>
      </w:r>
    </w:p>
    <w:p w14:paraId="0693BA43" w14:textId="77777777" w:rsidR="004D6A55" w:rsidRDefault="004D6A55" w:rsidP="004D6A55">
      <w:pPr>
        <w:jc w:val="both"/>
      </w:pPr>
      <w:r>
        <w:t xml:space="preserve">établissement et le numéro [1 d'entreprise du failli]1; s'il s'agit d'une personne morale, la dénomination, la forme, la nature de l'activité commerciale principale ainsi que la dénomination sous laquelle cette activité est exercée, le siège ainsi que le lieu du principal établissement et le numéro d'entreprise de la personne morale; </w:t>
      </w:r>
    </w:p>
    <w:p w14:paraId="0693BA44" w14:textId="77777777" w:rsidR="004D6A55" w:rsidRDefault="004D6A55" w:rsidP="004D6A55">
      <w:pPr>
        <w:jc w:val="both"/>
      </w:pPr>
      <w:r>
        <w:t xml:space="preserve">2. la date du jugement déclaratif et le tribunal qui l'a prononcé; </w:t>
      </w:r>
    </w:p>
    <w:p w14:paraId="0693BA45" w14:textId="77777777" w:rsidR="004D6A55" w:rsidRDefault="004D6A55" w:rsidP="004D6A55">
      <w:pPr>
        <w:jc w:val="both"/>
      </w:pPr>
      <w:r>
        <w:t xml:space="preserve">3. le cas échéant, la date du jugement fixant la date de cessation de paiement et l'indication de celle-ci; </w:t>
      </w:r>
    </w:p>
    <w:p w14:paraId="0693BA46" w14:textId="77777777" w:rsidR="004D6A55" w:rsidRDefault="004D6A55" w:rsidP="004D6A55">
      <w:pPr>
        <w:jc w:val="both"/>
      </w:pPr>
      <w:r>
        <w:t xml:space="preserve">4. les nom, prénoms et adresse des curateurs; </w:t>
      </w:r>
    </w:p>
    <w:p w14:paraId="0693BA47" w14:textId="77777777" w:rsidR="004D6A55" w:rsidRDefault="004D6A55" w:rsidP="004D6A55">
      <w:pPr>
        <w:jc w:val="both"/>
      </w:pPr>
      <w:r>
        <w:t xml:space="preserve">5. le délai dans lequel les créances doivent être déclarées; </w:t>
      </w:r>
    </w:p>
    <w:p w14:paraId="0693BA48" w14:textId="77777777" w:rsidR="004D6A55" w:rsidRDefault="004D6A55" w:rsidP="004D6A55">
      <w:pPr>
        <w:jc w:val="both"/>
      </w:pPr>
      <w:r>
        <w:t>6. la date de dépôt du premier procès-verbal de vérification des créances.</w:t>
      </w:r>
    </w:p>
    <w:p w14:paraId="0693BA49" w14:textId="77777777" w:rsidR="004D6A55" w:rsidRDefault="004D6A55" w:rsidP="004D6A55">
      <w:pPr>
        <w:jc w:val="both"/>
      </w:pPr>
      <w:r>
        <w:t xml:space="preserve">Il est justifié de cette insertion par le Moniteur belge contenant lesdits extraits. </w:t>
      </w:r>
    </w:p>
    <w:p w14:paraId="0693BA4A" w14:textId="77777777" w:rsidR="007D2F82" w:rsidRDefault="004D6A55" w:rsidP="004D6A55">
      <w:pPr>
        <w:jc w:val="both"/>
      </w:pPr>
      <w:r>
        <w:t>S'ils constatent qu'il est possible que la faillite doive être clôturée pour insuffisance d'actif, les curateurs demandent au juge-commissaire à être exonérés de l'obligation de publication dans des journaux ou des périodiques ayant une diffusion régionale. Les frais de publication qui ne sont pas couverts par l'actif resteront à charge des curateurs.</w:t>
      </w:r>
    </w:p>
    <w:p w14:paraId="0693BA4B" w14:textId="77777777" w:rsidR="004D6A55" w:rsidRDefault="004D6A55" w:rsidP="004D6A55">
      <w:pPr>
        <w:jc w:val="both"/>
      </w:pPr>
    </w:p>
    <w:p w14:paraId="0693BA4C" w14:textId="77777777" w:rsidR="00DF357F" w:rsidRDefault="00DF357F" w:rsidP="00DF357F">
      <w:pPr>
        <w:jc w:val="both"/>
      </w:pPr>
      <w:r w:rsidRPr="00DF357F">
        <w:rPr>
          <w:b/>
        </w:rPr>
        <w:t>Art. 39.</w:t>
      </w:r>
      <w:r>
        <w:t xml:space="preserve"> Il est tenu au greffe, pour chaque faillite, un dossier contenant : </w:t>
      </w:r>
    </w:p>
    <w:p w14:paraId="0693BA4D" w14:textId="77777777" w:rsidR="00DF357F" w:rsidRDefault="00DF357F" w:rsidP="00DF357F">
      <w:pPr>
        <w:jc w:val="both"/>
      </w:pPr>
      <w:r>
        <w:t xml:space="preserve">1° une copie conforme du jugement déclaratif de faillite, du jugement fixant la date de cessation de paiement et des décisions rendues sur recours contre ces jugements; </w:t>
      </w:r>
    </w:p>
    <w:p w14:paraId="0693BA4E" w14:textId="77777777" w:rsidR="00DF357F" w:rsidRDefault="00DF357F" w:rsidP="00DF357F">
      <w:pPr>
        <w:jc w:val="both"/>
      </w:pPr>
      <w:r>
        <w:t xml:space="preserve">2° les extraits des publications prévues à l'article 38; </w:t>
      </w:r>
    </w:p>
    <w:p w14:paraId="0693BA4F" w14:textId="77777777" w:rsidR="00DF357F" w:rsidRDefault="00DF357F" w:rsidP="00DF357F">
      <w:pPr>
        <w:jc w:val="both"/>
      </w:pPr>
      <w:r>
        <w:t xml:space="preserve">3° le cas échéant une copie conforme des ordonnances prises en vertu des articles 41, § 2, et 43, alinéa 3; </w:t>
      </w:r>
    </w:p>
    <w:p w14:paraId="0693BA50" w14:textId="77777777" w:rsidR="00DF357F" w:rsidRDefault="00DF357F" w:rsidP="00DF357F">
      <w:pPr>
        <w:jc w:val="both"/>
      </w:pPr>
      <w:r>
        <w:t xml:space="preserve">4° le procès-verbal de descente sur les lieux et l'inventaire prévu à l'article 43; </w:t>
      </w:r>
    </w:p>
    <w:p w14:paraId="0693BA51" w14:textId="77777777" w:rsidR="00DF357F" w:rsidRDefault="00DF357F" w:rsidP="00DF357F">
      <w:pPr>
        <w:jc w:val="both"/>
      </w:pPr>
      <w:r>
        <w:t>5° les procès-verbaux de vérification des créances</w:t>
      </w:r>
      <w:r w:rsidR="00E44FA2">
        <w:t> ;</w:t>
      </w:r>
      <w:r>
        <w:t xml:space="preserve"> </w:t>
      </w:r>
    </w:p>
    <w:p w14:paraId="0693BA52" w14:textId="77777777" w:rsidR="00DF357F" w:rsidRDefault="00DF357F" w:rsidP="00DF357F">
      <w:pPr>
        <w:jc w:val="both"/>
      </w:pPr>
      <w:r>
        <w:t xml:space="preserve">6° le tableau prévu à l'article 71; </w:t>
      </w:r>
    </w:p>
    <w:p w14:paraId="0693BA53" w14:textId="77777777" w:rsidR="00DF357F" w:rsidRDefault="00DF357F" w:rsidP="00DF357F">
      <w:pPr>
        <w:jc w:val="both"/>
      </w:pPr>
      <w:r>
        <w:t xml:space="preserve">7° les rapports et états de répartition établis par les curateurs, prévus aux articles 34 et 52; </w:t>
      </w:r>
    </w:p>
    <w:p w14:paraId="0693BA54" w14:textId="77777777" w:rsidR="00DF357F" w:rsidRDefault="00DF357F" w:rsidP="00DF357F">
      <w:pPr>
        <w:jc w:val="both"/>
      </w:pPr>
      <w:r>
        <w:t xml:space="preserve">8° les ordonnances écrites rendues par le juge-commissaire; </w:t>
      </w:r>
    </w:p>
    <w:p w14:paraId="0693BA55" w14:textId="77777777" w:rsidR="00DF357F" w:rsidRDefault="00DF357F" w:rsidP="00DF357F">
      <w:pPr>
        <w:jc w:val="both"/>
      </w:pPr>
      <w:r>
        <w:t xml:space="preserve">9° la liste des transactions et des homologations y relatives visées à l'article 58. </w:t>
      </w:r>
    </w:p>
    <w:p w14:paraId="0693BA56" w14:textId="77777777" w:rsidR="00DF357F" w:rsidRDefault="00DF357F" w:rsidP="00DF357F">
      <w:pPr>
        <w:jc w:val="both"/>
      </w:pPr>
      <w:r>
        <w:t>Tout intéressé peut prendre gratuitement connaissance du dossier et en obtenir copie moyennant paiement des droits de greffe.</w:t>
      </w:r>
    </w:p>
    <w:p w14:paraId="0693BA57" w14:textId="77777777" w:rsidR="00E44FA2" w:rsidRPr="00160C14" w:rsidRDefault="00E44FA2" w:rsidP="00DF357F">
      <w:pPr>
        <w:jc w:val="both"/>
        <w:rPr>
          <w:b/>
        </w:rPr>
      </w:pPr>
    </w:p>
    <w:p w14:paraId="0693BA58" w14:textId="77777777" w:rsidR="00160C14" w:rsidRDefault="00160C14" w:rsidP="00160C14">
      <w:pPr>
        <w:jc w:val="both"/>
      </w:pPr>
      <w:r w:rsidRPr="00160C14">
        <w:rPr>
          <w:b/>
        </w:rPr>
        <w:t>Art. 40.</w:t>
      </w:r>
      <w:r>
        <w:t xml:space="preserve"> Les curateurs entrent en fonction immédiatement après le jugement déclaratif et après avoir confirmé leur entrée en fonction en signant le procès-verbal de désignation. Ils gèrent la faillite en bon père de famille, sous la surveillance du juge-commissaire. </w:t>
      </w:r>
    </w:p>
    <w:p w14:paraId="0693BA59" w14:textId="77777777" w:rsidR="00E44FA2" w:rsidRDefault="00160C14" w:rsidP="00160C14">
      <w:pPr>
        <w:jc w:val="both"/>
      </w:pPr>
      <w:r>
        <w:t>Les curateurs collaborent activement et prioritairement à la détermination du montant des créances déclarées par les travailleurs de l'entreprise faillie.</w:t>
      </w:r>
    </w:p>
    <w:p w14:paraId="0693BA5A" w14:textId="77777777" w:rsidR="00160C14" w:rsidRDefault="00160C14" w:rsidP="00160C14">
      <w:pPr>
        <w:jc w:val="both"/>
      </w:pPr>
    </w:p>
    <w:p w14:paraId="0693BA5B" w14:textId="77777777" w:rsidR="000947B6" w:rsidRDefault="000947B6" w:rsidP="000947B6">
      <w:pPr>
        <w:jc w:val="both"/>
      </w:pPr>
      <w:r w:rsidRPr="000947B6">
        <w:rPr>
          <w:b/>
        </w:rPr>
        <w:t>Art. 41.</w:t>
      </w:r>
      <w:r>
        <w:t xml:space="preserve"> § 1. S'il y a lieu, les curateurs requièrent sur le champ l'apposition des scellés de la manière prévue au § 2. </w:t>
      </w:r>
    </w:p>
    <w:p w14:paraId="0693BA5C" w14:textId="77777777" w:rsidR="000947B6" w:rsidRDefault="000947B6" w:rsidP="000947B6">
      <w:pPr>
        <w:jc w:val="both"/>
      </w:pPr>
      <w:r>
        <w:t xml:space="preserve">Les scellés peuvent être apposés sur les magasins, les comptoirs, les caisses, les portefeuilles, les livres, les supports magnétiques, notamment les supports informatiques, les meubles et effets du failli. </w:t>
      </w:r>
    </w:p>
    <w:p w14:paraId="0693BA5D" w14:textId="77777777" w:rsidR="000947B6" w:rsidRDefault="000947B6" w:rsidP="000947B6">
      <w:pPr>
        <w:jc w:val="both"/>
      </w:pPr>
      <w:r>
        <w:lastRenderedPageBreak/>
        <w:t xml:space="preserve">En cas de faillite d'une société dont tout ou partie des associés sont solidairement responsables des dettes, les scellés sont, le cas échéant, apposés non seulement au siège principal de la société, mais encore au domicile de chacun des associés solidaires. </w:t>
      </w:r>
    </w:p>
    <w:p w14:paraId="0693BA5E" w14:textId="77777777" w:rsidR="00160C14" w:rsidRDefault="000947B6" w:rsidP="000947B6">
      <w:pPr>
        <w:jc w:val="both"/>
      </w:pPr>
      <w:r>
        <w:t>§ 2. Les curateurs peuvent demander au juge-commissaire d'ordonner l'apposition des scellés, soit par requête, soit par une déclaration verbale actée par le greffier.</w:t>
      </w:r>
    </w:p>
    <w:p w14:paraId="0693BA5F" w14:textId="77777777" w:rsidR="000947B6" w:rsidRDefault="000947B6" w:rsidP="000947B6">
      <w:pPr>
        <w:jc w:val="both"/>
      </w:pPr>
    </w:p>
    <w:p w14:paraId="0693BA60" w14:textId="77777777" w:rsidR="00371017" w:rsidRDefault="00371017" w:rsidP="00371017">
      <w:pPr>
        <w:jc w:val="both"/>
      </w:pPr>
      <w:r w:rsidRPr="00371017">
        <w:rPr>
          <w:b/>
        </w:rPr>
        <w:t>Art. 43.</w:t>
      </w:r>
      <w:r>
        <w:t xml:space="preserve"> Dès leur entrée en fonctions, les curateurs procèdent, sans désemparer et sous la surveillance du juge-commissaire, à l'inventaire des biens du failli, lequel est présent ou dûment appelé. Le juge-commissaire signe l'inventaire. L'inventaire signé est </w:t>
      </w:r>
      <w:r w:rsidR="00B410C4">
        <w:t>déposé</w:t>
      </w:r>
      <w:r>
        <w:t xml:space="preserve"> au greffe du tribunal pour être joint au dossier de la faillite.</w:t>
      </w:r>
    </w:p>
    <w:p w14:paraId="0693BA61" w14:textId="77777777" w:rsidR="00371017" w:rsidRDefault="00371017" w:rsidP="00371017">
      <w:pPr>
        <w:jc w:val="both"/>
      </w:pPr>
    </w:p>
    <w:p w14:paraId="0693BA62" w14:textId="77777777" w:rsidR="00A866D9" w:rsidRDefault="00A866D9" w:rsidP="00A866D9">
      <w:pPr>
        <w:jc w:val="both"/>
      </w:pPr>
      <w:r w:rsidRPr="00A866D9">
        <w:rPr>
          <w:b/>
        </w:rPr>
        <w:t>Art. 47.</w:t>
      </w:r>
      <w:r>
        <w:t xml:space="preserve"> Si l'intérêt des créanciers le permet, le tribunal, statuant à la demande des curateurs ou de tout intéressé, sur le rapport du juge-commissaire, et après avoir entendu les curateurs et les représentants du personnel au sein du Conseil d'entreprise ou, à défaut, du Comité pour la prévention et la protection au travail ou, à défaut, la délégation syndicale si celle-ci a été constituée ou, à défaut, une délégation du personnel, peut autoriser que les opérations commerciales du failli soient provisoirement, en tout ou en partie, continuées par les curateurs ou sous la surveillance des curateurs par le failli ou par un tiers. A la requête des curateurs ou de tout intéressé et sur le rapport du juge-commissaire, le tribunal peut à tout moment modifier ou révoquer cette mesure. </w:t>
      </w:r>
    </w:p>
    <w:p w14:paraId="0693BA63" w14:textId="77777777" w:rsidR="00371017" w:rsidRDefault="00A866D9" w:rsidP="00A866D9">
      <w:pPr>
        <w:jc w:val="both"/>
      </w:pPr>
      <w:r>
        <w:t>Les curateurs peuvent immédiatement après le jugement de faillite et après s'être concerté avec les syndicats représentatifs ou, à défaut, avec le personnel présent, dans l'intérêt de la masse et en attendant la décision du tribunal prise en application de l'alinéa premier, autoriser la poursuite des opérations commerciales.</w:t>
      </w:r>
    </w:p>
    <w:p w14:paraId="0693BA64" w14:textId="77777777" w:rsidR="00A866D9" w:rsidRDefault="00A866D9" w:rsidP="00A866D9">
      <w:pPr>
        <w:jc w:val="both"/>
      </w:pPr>
    </w:p>
    <w:p w14:paraId="0693BA65" w14:textId="77777777" w:rsidR="0029086D" w:rsidRDefault="0029086D" w:rsidP="0029086D">
      <w:pPr>
        <w:jc w:val="both"/>
      </w:pPr>
      <w:r w:rsidRPr="0029086D">
        <w:rPr>
          <w:b/>
        </w:rPr>
        <w:t>Art. 50.</w:t>
      </w:r>
      <w:r>
        <w:rPr>
          <w:b/>
        </w:rPr>
        <w:t xml:space="preserve"> </w:t>
      </w:r>
      <w:r>
        <w:t>Les envois de correspondance adressés au failli sont remis aux curateurs par chaque opérateur postal, sur requête écri</w:t>
      </w:r>
      <w:r w:rsidR="005E4F1E">
        <w:t>te signée par les curateurs adre</w:t>
      </w:r>
      <w:r>
        <w:t xml:space="preserve">ssée à l'opérateur postal mentionnant les nom et adresse du failli ainsi que paiement d'une indemnité fixée par le Roi à l'opérateur postal. </w:t>
      </w:r>
    </w:p>
    <w:p w14:paraId="0693BA66" w14:textId="77777777" w:rsidR="00A866D9" w:rsidRDefault="0029086D" w:rsidP="0029086D">
      <w:pPr>
        <w:jc w:val="both"/>
      </w:pPr>
      <w:r>
        <w:t>Les curateurs ouvrent les envois de correspondance. Si le failli est présent, il assiste à l'ouverture. Les envois de correspondance qui ne concernent pas exclusivement l'activité commerciale du failli sont transmis au failli ou communiqués par les curateurs à l'adresse indiquée par le failli.</w:t>
      </w:r>
    </w:p>
    <w:p w14:paraId="0693BA67" w14:textId="77777777" w:rsidR="0029086D" w:rsidRDefault="0029086D" w:rsidP="0029086D">
      <w:pPr>
        <w:jc w:val="both"/>
      </w:pPr>
    </w:p>
    <w:p w14:paraId="0693BA68" w14:textId="77777777" w:rsidR="0011720E" w:rsidRDefault="0011720E" w:rsidP="0011720E">
      <w:pPr>
        <w:jc w:val="both"/>
      </w:pPr>
      <w:r w:rsidRPr="0011720E">
        <w:rPr>
          <w:b/>
        </w:rPr>
        <w:t>Art. 57.</w:t>
      </w:r>
      <w:r>
        <w:t xml:space="preserve"> A compter de leur entrée en fonctions, les curateurs sont tenus, sous leur res</w:t>
      </w:r>
      <w:r w:rsidR="006F5861">
        <w:t>ponsabilité personnelle, de fair</w:t>
      </w:r>
      <w:r>
        <w:t xml:space="preserve">e tous les actes pour la conservation des droits du failli contre ses débiteurs. </w:t>
      </w:r>
    </w:p>
    <w:p w14:paraId="0693BA69" w14:textId="77777777" w:rsidR="0011720E" w:rsidRDefault="0011720E" w:rsidP="0011720E">
      <w:pPr>
        <w:jc w:val="both"/>
      </w:pPr>
      <w:r>
        <w:t xml:space="preserve">Ils sont aussi tenus de requérir l'inscription des hypothèques sur les immeubles des débiteurs du failli, si elle n'a pas été requise par lui. </w:t>
      </w:r>
    </w:p>
    <w:p w14:paraId="0693BA6A" w14:textId="77777777" w:rsidR="0011720E" w:rsidRDefault="0011720E" w:rsidP="0011720E">
      <w:pPr>
        <w:jc w:val="both"/>
      </w:pPr>
      <w:r>
        <w:t xml:space="preserve">Ils sont tenus, en outre, de prendre inscription sur les immeubles du failli dont ils connaissent l'existence. </w:t>
      </w:r>
    </w:p>
    <w:p w14:paraId="0693BA6B" w14:textId="77777777" w:rsidR="0029086D" w:rsidRDefault="0011720E" w:rsidP="0011720E">
      <w:pPr>
        <w:jc w:val="both"/>
      </w:pPr>
      <w:r>
        <w:t>Les inscriptions en question sont prises au nom de la masse par les curateurs, qui joignent à leur bordereau une copie du jugement de faillite constatant leur nomination.</w:t>
      </w:r>
    </w:p>
    <w:p w14:paraId="0693BA6C" w14:textId="77777777" w:rsidR="0011720E" w:rsidRPr="00B622C3" w:rsidRDefault="0011720E" w:rsidP="0011720E">
      <w:pPr>
        <w:jc w:val="both"/>
        <w:rPr>
          <w:b/>
        </w:rPr>
      </w:pPr>
    </w:p>
    <w:p w14:paraId="0693BA6D" w14:textId="77777777" w:rsidR="0011720E" w:rsidRDefault="00B622C3" w:rsidP="0011720E">
      <w:pPr>
        <w:jc w:val="both"/>
      </w:pPr>
      <w:r w:rsidRPr="00B622C3">
        <w:rPr>
          <w:b/>
        </w:rPr>
        <w:t>Art. 59.</w:t>
      </w:r>
      <w:r w:rsidRPr="00B622C3">
        <w:t xml:space="preserve"> Les curateurs peuvent employer le failli pour faciliter et éclairer leur gestion. Le juge-commissaire fixera les conditions de son travail.</w:t>
      </w:r>
    </w:p>
    <w:p w14:paraId="0693BA6E" w14:textId="77777777" w:rsidR="00B622C3" w:rsidRDefault="00B622C3" w:rsidP="0011720E">
      <w:pPr>
        <w:jc w:val="both"/>
      </w:pPr>
    </w:p>
    <w:p w14:paraId="0693BA6F" w14:textId="77777777" w:rsidR="00B622C3" w:rsidRDefault="0062669D" w:rsidP="0062669D">
      <w:pPr>
        <w:jc w:val="both"/>
      </w:pPr>
      <w:r w:rsidRPr="0062669D">
        <w:rPr>
          <w:b/>
        </w:rPr>
        <w:t>Art. 60.</w:t>
      </w:r>
      <w:r>
        <w:t xml:space="preserve"> En toute faillite, les curateurs, dans les deux mois de leur entrée en fonctions, sont tenus de remettre au juge-commissaire un mémoire ou compte sommaire de l'état apparent de la faillite, de ses principales causes et circonstances, et des caractères qu'elle paraît avoir.</w:t>
      </w:r>
    </w:p>
    <w:p w14:paraId="0693BA70" w14:textId="77777777" w:rsidR="0062669D" w:rsidRDefault="0062669D" w:rsidP="0062669D">
      <w:pPr>
        <w:jc w:val="both"/>
      </w:pPr>
    </w:p>
    <w:p w14:paraId="0693BA71" w14:textId="77777777" w:rsidR="0062669D" w:rsidRPr="002042EA" w:rsidRDefault="0062669D" w:rsidP="0062669D">
      <w:pPr>
        <w:jc w:val="both"/>
      </w:pPr>
    </w:p>
    <w:p w14:paraId="0693BA72" w14:textId="77777777" w:rsidR="0090231D" w:rsidRDefault="0090231D" w:rsidP="00105A84">
      <w:pPr>
        <w:pStyle w:val="Titre2"/>
      </w:pPr>
      <w:bookmarkStart w:id="453" w:name="_Toc482815717"/>
      <w:r w:rsidRPr="00244048">
        <w:t>De la déclaration et de la vérification des créances</w:t>
      </w:r>
      <w:bookmarkEnd w:id="453"/>
    </w:p>
    <w:p w14:paraId="0693BA73" w14:textId="77777777" w:rsidR="00412EC1" w:rsidRDefault="00412EC1" w:rsidP="00412EC1">
      <w:pPr>
        <w:jc w:val="both"/>
      </w:pPr>
      <w:r w:rsidRPr="00412EC1">
        <w:rPr>
          <w:b/>
        </w:rPr>
        <w:t>Art. 62.</w:t>
      </w:r>
      <w:r>
        <w:t xml:space="preserve"> Pour participer à une répartition ou pour exercer personnellement un droit de préférence quelconque, les créanciers sont tenus de déposer au greffe du tribunal de commerce la déclaration </w:t>
      </w:r>
      <w:r>
        <w:lastRenderedPageBreak/>
        <w:t xml:space="preserve">de leurs créances avec leurs titres, au plus tard le jour indiqué par le jugement déclaratif de faillite. Sur demande, le greffier délivre un récépissé. </w:t>
      </w:r>
    </w:p>
    <w:p w14:paraId="0693BA74" w14:textId="77777777" w:rsidR="00412EC1" w:rsidRDefault="00412EC1" w:rsidP="00412EC1">
      <w:pPr>
        <w:jc w:val="both"/>
      </w:pPr>
      <w:r>
        <w:t>A cette fin, les créanciers sont avertis par la publication au Moniteur belge et par une circulaire que les curateurs leur adressent aussitôt que ces créanciers sont connus.</w:t>
      </w:r>
    </w:p>
    <w:p w14:paraId="0693BA75" w14:textId="77777777" w:rsidR="00412EC1" w:rsidRDefault="00412EC1" w:rsidP="00412EC1">
      <w:pPr>
        <w:jc w:val="both"/>
      </w:pPr>
    </w:p>
    <w:p w14:paraId="0693BA76" w14:textId="77777777" w:rsidR="00412EC1" w:rsidRDefault="005A328C" w:rsidP="005A328C">
      <w:pPr>
        <w:jc w:val="both"/>
      </w:pPr>
      <w:r w:rsidRPr="005A328C">
        <w:rPr>
          <w:b/>
        </w:rPr>
        <w:t>Art. 63.</w:t>
      </w:r>
      <w:r>
        <w:t xml:space="preserve"> La déclaration de chaque créancier énonce son identité, sa profession et domicile, ou, s'il agit d'une personne morale, son activité commerciale principale, son identité et son siège social, le montant et les causes de sa créance, les privilèges, hypothèques ou gages qui y sont affectées et le titre d'où elle résulte, faute de quoi les curateurs peuvent rejeter la créance ou la considérer comme chirographaire. Tout créancier jouissant d'une sûreté personnelle l'énonce dans sa déclaration de créance ou, au plus tard, dans les six mois de la date du jugement déclaratif de faillite, sauf si la faillite est clôturée plus tôt, et mentionne les nom, prénom et adresse de la personne physique qui, à titre gratuit, s'est constituée sûreté personnelle du failli, faute de quoi cette personne est déchargée.</w:t>
      </w:r>
    </w:p>
    <w:p w14:paraId="0693BA77" w14:textId="77777777" w:rsidR="005A328C" w:rsidRDefault="005A328C" w:rsidP="005A328C">
      <w:pPr>
        <w:jc w:val="both"/>
      </w:pPr>
    </w:p>
    <w:p w14:paraId="0693BA78" w14:textId="77777777" w:rsidR="00705B92" w:rsidRDefault="00705B92" w:rsidP="00705B92">
      <w:pPr>
        <w:jc w:val="both"/>
      </w:pPr>
      <w:r w:rsidRPr="00705B92">
        <w:rPr>
          <w:b/>
        </w:rPr>
        <w:t>Art. 67.</w:t>
      </w:r>
      <w:r>
        <w:t xml:space="preserve"> Les procès-verbaux de vérification des créances à déposer au greffe sont dressés par les curateurs et signés par eux-mêmes et par le juge-commissaire. </w:t>
      </w:r>
    </w:p>
    <w:p w14:paraId="0693BA79" w14:textId="77777777" w:rsidR="00705B92" w:rsidRDefault="00705B92" w:rsidP="00705B92">
      <w:pPr>
        <w:jc w:val="both"/>
      </w:pPr>
      <w:r>
        <w:t xml:space="preserve"> </w:t>
      </w:r>
    </w:p>
    <w:p w14:paraId="0693BA7A" w14:textId="77777777" w:rsidR="00705B92" w:rsidRDefault="00705B92" w:rsidP="00705B92">
      <w:pPr>
        <w:jc w:val="both"/>
      </w:pPr>
      <w:r w:rsidRPr="00705B92">
        <w:rPr>
          <w:b/>
        </w:rPr>
        <w:t>Art. 68.</w:t>
      </w:r>
      <w:r>
        <w:t xml:space="preserve"> Les curateurs déposent au greffe le premier procès-verbal de vérification, au plus tard à la date fixée dans le jugement déclaratif de faillite. </w:t>
      </w:r>
    </w:p>
    <w:p w14:paraId="0693BA7B" w14:textId="77777777" w:rsidR="005A328C" w:rsidRDefault="00705B92" w:rsidP="00705B92">
      <w:pPr>
        <w:jc w:val="both"/>
      </w:pPr>
      <w:r>
        <w:t xml:space="preserve">Tous les quatre mois, à compter de la date du dépôt du premier procès-verbal de vérification, telle qu'elle est prévue dans le jugement déclaratif de faillite, et pendant les seize mois suivant cette date, les curateurs déposent au greffe un procès-verbal de vérification complémentaire dans lequel ils reprennent le précédent procès-verbal de vérification, poursuivent la vérification des créances réservées et vérifient les créances qui ont </w:t>
      </w:r>
      <w:r w:rsidR="008D6814">
        <w:t>été</w:t>
      </w:r>
      <w:r>
        <w:t xml:space="preserve"> déposées au greffe depuis lors.</w:t>
      </w:r>
    </w:p>
    <w:p w14:paraId="0693BA7C" w14:textId="77777777" w:rsidR="00705B92" w:rsidRDefault="00705B92" w:rsidP="00705B92">
      <w:pPr>
        <w:jc w:val="both"/>
      </w:pPr>
    </w:p>
    <w:p w14:paraId="0693BA7D" w14:textId="77777777" w:rsidR="006E019E" w:rsidRDefault="006E019E" w:rsidP="006E019E">
      <w:pPr>
        <w:jc w:val="both"/>
      </w:pPr>
      <w:r w:rsidRPr="00E242B4">
        <w:rPr>
          <w:b/>
        </w:rPr>
        <w:t>Art. 70.</w:t>
      </w:r>
      <w:r>
        <w:t xml:space="preserve"> Au jour fixé pour les débats sur les contestations, le tribunal statue, sans citation préalable,</w:t>
      </w:r>
      <w:r w:rsidR="00E242B4">
        <w:t xml:space="preserve"> </w:t>
      </w:r>
      <w:r>
        <w:t xml:space="preserve">s'il est possible par un même jugement, quant à toutes les contestations. Le jugement est rendu après avoir entendu, s'ils se présentent, les curateurs, le failli, les créanciers opposants et déclarants. Son jugement n'est pas susceptible d'opposition. </w:t>
      </w:r>
    </w:p>
    <w:p w14:paraId="0693BA7E" w14:textId="77777777" w:rsidR="006E019E" w:rsidRDefault="006E019E" w:rsidP="006E019E">
      <w:pPr>
        <w:jc w:val="both"/>
      </w:pPr>
      <w:r>
        <w:t xml:space="preserve">Les contestations qui ne sont pas prises immédiatement en délibéré sont disjointes et ensuite traitées selon la procédure ordinaire, toutes affaires cessantes. </w:t>
      </w:r>
    </w:p>
    <w:p w14:paraId="0693BA7F" w14:textId="77777777" w:rsidR="006E019E" w:rsidRDefault="006E019E" w:rsidP="006E019E">
      <w:pPr>
        <w:jc w:val="both"/>
      </w:pPr>
      <w:r>
        <w:t xml:space="preserve"> </w:t>
      </w:r>
    </w:p>
    <w:p w14:paraId="0693BA80" w14:textId="77777777" w:rsidR="006E019E" w:rsidRDefault="006E019E" w:rsidP="006E019E">
      <w:pPr>
        <w:jc w:val="both"/>
      </w:pPr>
      <w:r w:rsidRPr="00E242B4">
        <w:rPr>
          <w:b/>
        </w:rPr>
        <w:t>Art. 71</w:t>
      </w:r>
      <w:r>
        <w:t xml:space="preserve">. Il est tenu au greffe, sous la responsabilité du greffier, pour chaque faillite, un tableau divisé en colonnes et contenant, pour chaque créance déclarée, les énonciations suivantes : </w:t>
      </w:r>
    </w:p>
    <w:p w14:paraId="0693BA81" w14:textId="77777777" w:rsidR="006E019E" w:rsidRDefault="006E019E" w:rsidP="006E019E">
      <w:pPr>
        <w:jc w:val="both"/>
      </w:pPr>
      <w:r>
        <w:t>1° le</w:t>
      </w:r>
      <w:r w:rsidR="00E242B4">
        <w:t xml:space="preserve"> </w:t>
      </w:r>
      <w:r>
        <w:t xml:space="preserve">numéro d'ordre; </w:t>
      </w:r>
    </w:p>
    <w:p w14:paraId="0693BA82" w14:textId="77777777" w:rsidR="006E019E" w:rsidRDefault="006E019E" w:rsidP="006E019E">
      <w:pPr>
        <w:jc w:val="both"/>
      </w:pPr>
      <w:r>
        <w:t xml:space="preserve">2° l'identité, la profession et le domicile, ou, s'il s'agit d'une personne morale, l'activité commerciale principale, l'identité et le siège social du créancier qui a déposé sa créance et ses titres; </w:t>
      </w:r>
    </w:p>
    <w:p w14:paraId="0693BA83" w14:textId="77777777" w:rsidR="006E019E" w:rsidRDefault="006E019E" w:rsidP="006E019E">
      <w:pPr>
        <w:jc w:val="both"/>
      </w:pPr>
      <w:r>
        <w:t xml:space="preserve">3° le montant de la créance déclarée; </w:t>
      </w:r>
    </w:p>
    <w:p w14:paraId="0693BA84" w14:textId="77777777" w:rsidR="006E019E" w:rsidRDefault="006E019E" w:rsidP="006E019E">
      <w:pPr>
        <w:jc w:val="both"/>
      </w:pPr>
      <w:r>
        <w:t xml:space="preserve">4° les privilèges et hypothèques auxquels le créancier prétend; </w:t>
      </w:r>
    </w:p>
    <w:p w14:paraId="0693BA85" w14:textId="77777777" w:rsidR="006E019E" w:rsidRDefault="006E019E" w:rsidP="006E019E">
      <w:pPr>
        <w:jc w:val="both"/>
      </w:pPr>
      <w:r>
        <w:t xml:space="preserve">5° l'admission ou la contestation; </w:t>
      </w:r>
    </w:p>
    <w:p w14:paraId="0693BA86" w14:textId="77777777" w:rsidR="006E019E" w:rsidRDefault="006E019E" w:rsidP="006E019E">
      <w:pPr>
        <w:jc w:val="both"/>
      </w:pPr>
      <w:r>
        <w:t xml:space="preserve">6° le sommaire et la date de la décision relative à la contestation; </w:t>
      </w:r>
    </w:p>
    <w:p w14:paraId="0693BA87" w14:textId="77777777" w:rsidR="00705B92" w:rsidRDefault="006E019E" w:rsidP="006E019E">
      <w:pPr>
        <w:jc w:val="both"/>
      </w:pPr>
      <w:r>
        <w:t>7° les autres renseignements qu'il peut être utile de porter à la connaissance des intéressés.</w:t>
      </w:r>
    </w:p>
    <w:p w14:paraId="0693BA88" w14:textId="77777777" w:rsidR="00E242B4" w:rsidRDefault="00E242B4" w:rsidP="006E019E">
      <w:pPr>
        <w:jc w:val="both"/>
      </w:pPr>
    </w:p>
    <w:p w14:paraId="0693BA89" w14:textId="77777777" w:rsidR="00E242B4" w:rsidRPr="00412EC1" w:rsidRDefault="00E242B4" w:rsidP="006E019E">
      <w:pPr>
        <w:jc w:val="both"/>
      </w:pPr>
    </w:p>
    <w:p w14:paraId="0693BA8A" w14:textId="77777777" w:rsidR="0090231D" w:rsidRDefault="0090231D" w:rsidP="00105A84">
      <w:pPr>
        <w:pStyle w:val="Titre2"/>
      </w:pPr>
      <w:bookmarkStart w:id="454" w:name="_Toc482815718"/>
      <w:r w:rsidRPr="00244048">
        <w:t xml:space="preserve">De la </w:t>
      </w:r>
      <w:r w:rsidRPr="00105A84">
        <w:t>procédure</w:t>
      </w:r>
      <w:r w:rsidRPr="00244048">
        <w:t xml:space="preserve"> sommaire de clôture</w:t>
      </w:r>
      <w:bookmarkEnd w:id="454"/>
    </w:p>
    <w:p w14:paraId="0693BA8B" w14:textId="77777777" w:rsidR="00F30FA3" w:rsidRDefault="00F30FA3" w:rsidP="00F30FA3">
      <w:pPr>
        <w:jc w:val="both"/>
      </w:pPr>
      <w:r w:rsidRPr="00F30FA3">
        <w:rPr>
          <w:b/>
        </w:rPr>
        <w:t>Art. 73.</w:t>
      </w:r>
      <w:r>
        <w:t xml:space="preserve"> S'il apparaît que l'actif ne suffit pas pour couvrir les frais présumés d'administration et de liquidation de la faillite, le tribunal, sur requête des curateurs ou même d'office après avoir entendu les curateurs, peut prononcer la clôture de </w:t>
      </w:r>
      <w:r w:rsidR="00BB6E9E">
        <w:t xml:space="preserve">la faillite. </w:t>
      </w:r>
      <w:r>
        <w:t>Le failli, les personnes qui ont fait la déclaration visée à l'article 72ter et les créanciers visés à l'article 63, alinéa 2, sont convoqués par pli judiciaire contena</w:t>
      </w:r>
      <w:r w:rsidR="00BB6E9E">
        <w:t>nt le texte du présent article.</w:t>
      </w:r>
      <w:r>
        <w:t xml:space="preserve"> Les parties sont entendues en chambre du conseil sur </w:t>
      </w:r>
      <w:r w:rsidR="00BB6E9E">
        <w:t>l'excusabilité</w:t>
      </w:r>
      <w:r>
        <w:t>, sur la décharge des personnes qui se sont constituées sûreté personnelle du failli) et la clôture de la faillite.</w:t>
      </w:r>
    </w:p>
    <w:p w14:paraId="0693BA8C" w14:textId="77777777" w:rsidR="00EB4851" w:rsidRDefault="00EB4851" w:rsidP="00F30FA3">
      <w:pPr>
        <w:jc w:val="both"/>
      </w:pPr>
    </w:p>
    <w:p w14:paraId="0693BA8D" w14:textId="77777777" w:rsidR="00364F89" w:rsidRDefault="00364F89" w:rsidP="00364F89">
      <w:pPr>
        <w:jc w:val="both"/>
      </w:pPr>
    </w:p>
    <w:p w14:paraId="0693BA8E" w14:textId="77777777" w:rsidR="00364F89" w:rsidRPr="00F30FA3" w:rsidRDefault="00364F89" w:rsidP="00364F89">
      <w:pPr>
        <w:jc w:val="both"/>
      </w:pPr>
    </w:p>
    <w:p w14:paraId="0693BA8F" w14:textId="77777777" w:rsidR="0090231D" w:rsidRDefault="0090231D" w:rsidP="00105A84">
      <w:pPr>
        <w:pStyle w:val="Titre2"/>
      </w:pPr>
      <w:bookmarkStart w:id="455" w:name="_Toc482815719"/>
      <w:r w:rsidRPr="00244048">
        <w:t>De la liquidation de la faillite</w:t>
      </w:r>
      <w:bookmarkEnd w:id="455"/>
    </w:p>
    <w:p w14:paraId="0693BA90" w14:textId="77777777" w:rsidR="00BB6E9E" w:rsidRDefault="00BB6E9E" w:rsidP="00BB6E9E">
      <w:pPr>
        <w:jc w:val="both"/>
      </w:pPr>
      <w:r w:rsidRPr="00EB4851">
        <w:rPr>
          <w:b/>
        </w:rPr>
        <w:t>Art. 75.</w:t>
      </w:r>
      <w:r>
        <w:t xml:space="preserve"> § 1er. Dès le dépôt du premier procès-verbal de vérification des créances ou à dater de quelque date ultérieure que ce soit, les curateurs procèdent à la liquidation de la faillite. Le juge-commissaire convoque le failli pour, en présence des curateurs, recueillir ses observations sur la meilleure réalisation possible de l'actif. Il en est dressé procès-verbal. Les curateurs vendent notamment les immeubles, marchandises et effets mobiliers, le tout sous la surveillance du juge-commissaire en se conformément aux dispositions des articles 51 et 52, et sans qu'il soit besoin d'appeler le failli. Ils peuvent transiger de la manière prescrite a l'article 58 sur toutes espèces de droit appartenant au failli, nonobstant toute opposition de sa part.</w:t>
      </w:r>
    </w:p>
    <w:p w14:paraId="0693BA91" w14:textId="77777777" w:rsidR="00BB6E9E" w:rsidRDefault="00BB6E9E" w:rsidP="00BB6E9E">
      <w:pPr>
        <w:jc w:val="both"/>
      </w:pPr>
    </w:p>
    <w:p w14:paraId="0693BA92" w14:textId="77777777" w:rsidR="00BB6E9E" w:rsidRDefault="00BB6E9E" w:rsidP="00BB6E9E">
      <w:pPr>
        <w:jc w:val="both"/>
      </w:pPr>
      <w:r w:rsidRPr="005D73E2">
        <w:rPr>
          <w:b/>
        </w:rPr>
        <w:t>Art. 76.</w:t>
      </w:r>
      <w:r>
        <w:t xml:space="preserve"> Le juge-commissaire peut en toutes circonstances convoquer une assemblée des créanciers ou de certains d'entre eux. </w:t>
      </w:r>
    </w:p>
    <w:p w14:paraId="0693BA93" w14:textId="77777777" w:rsidR="00BB6E9E" w:rsidRDefault="00BB6E9E" w:rsidP="00BB6E9E">
      <w:pPr>
        <w:jc w:val="both"/>
      </w:pPr>
      <w:r>
        <w:t xml:space="preserve">Dès la troisième année après la date anniversaire du jugement déclaratif de faillite, le juge-commissaire peut, à la demande d'un créancier, convoquer sous sa présidence une assemblée des créanciers pour entendre le rapport des curateurs sur l'évolution de la liquidation. </w:t>
      </w:r>
    </w:p>
    <w:p w14:paraId="0693BA94" w14:textId="77777777" w:rsidR="00BB6E9E" w:rsidRDefault="00BB6E9E" w:rsidP="00BB6E9E">
      <w:pPr>
        <w:jc w:val="both"/>
      </w:pPr>
      <w:r>
        <w:t xml:space="preserve">Le juge-commissaire convoque l'assemblée si la demande lui en est faite par des créanciers représentant plus d'un tiers des dettes.) </w:t>
      </w:r>
    </w:p>
    <w:p w14:paraId="0693BA95" w14:textId="77777777" w:rsidR="00BB6E9E" w:rsidRDefault="00BB6E9E" w:rsidP="00BB6E9E">
      <w:pPr>
        <w:jc w:val="both"/>
      </w:pPr>
      <w:r>
        <w:t>Le juge-commissaire ordonne la convocation des créanciers inscrits dans la faillite et fixe le lieu, le jour et l'heure de l'assemblée. Cette ordonnance est publiée au Moniteur belge, à la diligence du greffier, un mois au moins avant la date de la réunion. Le juge-commissaire peut toutefois autoriser la convocation des créanciers par lettre circulaire.</w:t>
      </w:r>
    </w:p>
    <w:p w14:paraId="0693BA96" w14:textId="77777777" w:rsidR="00BB6E9E" w:rsidRDefault="00BB6E9E" w:rsidP="00BB6E9E">
      <w:pPr>
        <w:jc w:val="both"/>
      </w:pPr>
    </w:p>
    <w:p w14:paraId="0693BA97" w14:textId="77777777" w:rsidR="00BB6E9E" w:rsidRDefault="00BB6E9E" w:rsidP="00BB6E9E">
      <w:pPr>
        <w:jc w:val="both"/>
      </w:pPr>
      <w:r w:rsidRPr="00997E62">
        <w:rPr>
          <w:b/>
        </w:rPr>
        <w:t>Art. 77.</w:t>
      </w:r>
      <w:r>
        <w:t xml:space="preserve"> Le juge-commissaire ordonne, s'il y a lieu, une répartition entre les créanciers et en fixe la quotité. Tout paiement effectué sur ordre du juge-commissaire ou avec son autorisation entraîne décharge pour les curateurs.</w:t>
      </w:r>
    </w:p>
    <w:p w14:paraId="0693BA98" w14:textId="77777777" w:rsidR="00BB6E9E" w:rsidRDefault="00BB6E9E" w:rsidP="00BB6E9E">
      <w:pPr>
        <w:jc w:val="both"/>
      </w:pPr>
    </w:p>
    <w:p w14:paraId="0693BA99" w14:textId="77777777" w:rsidR="00BB6E9E" w:rsidRDefault="00BB6E9E" w:rsidP="00BB6E9E">
      <w:pPr>
        <w:jc w:val="both"/>
      </w:pPr>
      <w:r w:rsidRPr="004438E0">
        <w:rPr>
          <w:b/>
        </w:rPr>
        <w:t>Art. 79.</w:t>
      </w:r>
      <w:r>
        <w:t xml:space="preserve"> Lorsque la liquidation de la faillite est terminée, le failli et les créanciers sont convoqués par les curateurs, sur ordonnance du juge-commissaire, rendue au vu des comptes des curateurs. Le compte simplifié des curateurs reprenant le montant de l'actif, les frais et honoraires des curateurs, les dettes de la masse et la répartition aux différentes catégories de créanciers, est joint à cette convocation. </w:t>
      </w:r>
    </w:p>
    <w:p w14:paraId="0693BA9A" w14:textId="77777777" w:rsidR="00BB6E9E" w:rsidRDefault="00BB6E9E" w:rsidP="00BB6E9E">
      <w:pPr>
        <w:jc w:val="both"/>
      </w:pPr>
      <w:r>
        <w:t>Dans cette assemblée, le compte est débattu et arrêté. (Les créanciers donnent, le cas échéant, leur avis sur l'excusabilité de la personne physique faillie.)</w:t>
      </w:r>
    </w:p>
    <w:p w14:paraId="0693BA9B" w14:textId="77777777" w:rsidR="00BB6E9E" w:rsidRDefault="00BB6E9E" w:rsidP="00BB6E9E">
      <w:pPr>
        <w:jc w:val="both"/>
      </w:pPr>
      <w:r>
        <w:t>Le reliquat du compte fait l'objet de dernière répartition. Lorsque le compte définitif présente un solde positif, celui-ci revient de droit au failli.</w:t>
      </w:r>
    </w:p>
    <w:p w14:paraId="0693BA9C" w14:textId="77777777" w:rsidR="00BB6E9E" w:rsidRDefault="00BB6E9E" w:rsidP="00BB6E9E">
      <w:pPr>
        <w:jc w:val="both"/>
      </w:pPr>
    </w:p>
    <w:p w14:paraId="0693BA9D" w14:textId="77777777" w:rsidR="00BB6E9E" w:rsidRDefault="00BB6E9E" w:rsidP="00BB6E9E">
      <w:pPr>
        <w:jc w:val="both"/>
      </w:pPr>
      <w:r w:rsidRPr="006D4CFE">
        <w:rPr>
          <w:b/>
        </w:rPr>
        <w:t>Art. 80.</w:t>
      </w:r>
      <w:r>
        <w:t xml:space="preserve"> Sur le rapport du juge-commissaire, le failli, les personnes qui ont fait la déclaration visée à l'article 72ter et les créanciers visés à l'article 63, alinéa 2, dûment appelés) par pli judiciaire contenant le texte du présent article, le tribunal ordonne la clôture de la faillite, après avoir tranché le cas échéant les contestations relatives au compte et redressé celui-ci s'il y a lieu. Dans le mois du jugement ordonnant la clôture de la faillite, les curateurs transmettent à l'administration de la T.V.A. et à l'administration centrale de la fiscalité des entreprises et des revenus une copie du compte simplifié corrigé ainsi qu'un relevé des sommes qui ont été effectivement versées aux divers créanciers.</w:t>
      </w:r>
    </w:p>
    <w:p w14:paraId="0693BA9E" w14:textId="77777777" w:rsidR="00BB6E9E" w:rsidRDefault="00BB6E9E" w:rsidP="00BB6E9E">
      <w:pPr>
        <w:jc w:val="both"/>
      </w:pPr>
    </w:p>
    <w:p w14:paraId="0693BA9F" w14:textId="77777777" w:rsidR="00BB6E9E" w:rsidRDefault="00BB6E9E" w:rsidP="00BB6E9E">
      <w:pPr>
        <w:jc w:val="both"/>
      </w:pPr>
      <w:r w:rsidRPr="00364F89">
        <w:rPr>
          <w:b/>
        </w:rPr>
        <w:t>Art. 81.</w:t>
      </w:r>
      <w:r>
        <w:t xml:space="preserve"> La personne morale faillie ne peut pas être déclarée excusable. </w:t>
      </w:r>
    </w:p>
    <w:p w14:paraId="0693BAA0" w14:textId="77777777" w:rsidR="00BB6E9E" w:rsidRDefault="00BB6E9E" w:rsidP="00BB6E9E">
      <w:pPr>
        <w:jc w:val="both"/>
      </w:pPr>
      <w:r>
        <w:t xml:space="preserve">1° la personne morale faillie; </w:t>
      </w:r>
    </w:p>
    <w:p w14:paraId="0693BAA1" w14:textId="77777777" w:rsidR="00BB6E9E" w:rsidRDefault="00BB6E9E" w:rsidP="00BB6E9E">
      <w:pPr>
        <w:jc w:val="both"/>
      </w:pPr>
      <w:r>
        <w:t>2° la personne physique faillie qui a été condamnée pour infraction à l'article 489ter du Code pénal ou pour vol, faux, concussion, escroquerie ou abus de confiance, ni le dépositaire, tuteur, administrateur ou autre comptable, qui n'a pas rendu et soldé son compte en temps utile.</w:t>
      </w:r>
    </w:p>
    <w:p w14:paraId="0693BAA2" w14:textId="77777777" w:rsidR="00BB6E9E" w:rsidRDefault="00CD5045" w:rsidP="00B816B9">
      <w:pPr>
        <w:pStyle w:val="Titre1"/>
      </w:pPr>
      <w:bookmarkStart w:id="456" w:name="_Toc482815720"/>
      <w:r>
        <w:lastRenderedPageBreak/>
        <w:t>Bibliographie</w:t>
      </w:r>
      <w:bookmarkEnd w:id="456"/>
    </w:p>
    <w:p w14:paraId="0693BAA3" w14:textId="77777777" w:rsidR="00B816B9" w:rsidRPr="00B816B9" w:rsidRDefault="00B816B9" w:rsidP="00B816B9">
      <w:r>
        <w:br w:type="page"/>
      </w:r>
    </w:p>
    <w:p w14:paraId="0693BAA4" w14:textId="77777777" w:rsidR="00760026" w:rsidRPr="00636C01" w:rsidRDefault="00760026" w:rsidP="00636C01">
      <w:pPr>
        <w:pStyle w:val="Notedebasdepage"/>
        <w:numPr>
          <w:ilvl w:val="0"/>
          <w:numId w:val="65"/>
        </w:numPr>
        <w:spacing w:before="120"/>
        <w:ind w:left="426" w:hanging="426"/>
        <w:rPr>
          <w:sz w:val="20"/>
        </w:rPr>
      </w:pPr>
      <w:r w:rsidRPr="00EC6811">
        <w:rPr>
          <w:sz w:val="20"/>
        </w:rPr>
        <w:lastRenderedPageBreak/>
        <w:t xml:space="preserve">Arrêt de la Cour de Justice européenne (quatrième chambre) du 4 juin 2009, affaire C-243/08, Recueil de la jurisprudence 2009 I-04713, </w:t>
      </w:r>
      <w:hyperlink r:id="rId161" w:history="1">
        <w:r w:rsidRPr="00B816B9">
          <w:t>http://goo.gl/ILzH0</w:t>
        </w:r>
      </w:hyperlink>
      <w:r w:rsidRPr="00EC6811">
        <w:rPr>
          <w:sz w:val="20"/>
        </w:rPr>
        <w:t>, consulté le 10.04.2012</w:t>
      </w:r>
    </w:p>
    <w:p w14:paraId="0693BAA5" w14:textId="77777777" w:rsidR="00760026" w:rsidRPr="00EC6811" w:rsidRDefault="00760026" w:rsidP="0086187F">
      <w:pPr>
        <w:pStyle w:val="Notedebasdepage"/>
        <w:numPr>
          <w:ilvl w:val="0"/>
          <w:numId w:val="65"/>
        </w:numPr>
        <w:spacing w:before="120"/>
        <w:ind w:left="426" w:hanging="426"/>
        <w:jc w:val="both"/>
        <w:rPr>
          <w:snapToGrid w:val="0"/>
          <w:sz w:val="20"/>
        </w:rPr>
      </w:pPr>
      <w:r w:rsidRPr="00EC6811">
        <w:rPr>
          <w:snapToGrid w:val="0"/>
          <w:sz w:val="20"/>
        </w:rPr>
        <w:t xml:space="preserve">Attali dans </w:t>
      </w:r>
      <w:r w:rsidRPr="00EC6811">
        <w:rPr>
          <w:b/>
          <w:snapToGrid w:val="0"/>
          <w:sz w:val="20"/>
        </w:rPr>
        <w:t>Sous le règne de l’incertitude – Jacques Attali et Ilya Prigogine face à l’émergence d’une science qui nous confronte à la complexité croissante du monde réel</w:t>
      </w:r>
      <w:r w:rsidRPr="00EC6811">
        <w:rPr>
          <w:snapToGrid w:val="0"/>
          <w:sz w:val="20"/>
        </w:rPr>
        <w:t>, Solvay Business Journal n° 25, 25/04/99 – 25/06/99, p. 6</w:t>
      </w:r>
    </w:p>
    <w:p w14:paraId="0693BAA6" w14:textId="77777777" w:rsidR="00760026" w:rsidRPr="00EC6811" w:rsidRDefault="00105A84" w:rsidP="0086187F">
      <w:pPr>
        <w:pStyle w:val="Notedebasdepage"/>
        <w:numPr>
          <w:ilvl w:val="0"/>
          <w:numId w:val="65"/>
        </w:numPr>
        <w:spacing w:before="120"/>
        <w:ind w:left="426" w:hanging="426"/>
        <w:jc w:val="both"/>
        <w:rPr>
          <w:sz w:val="20"/>
        </w:rPr>
      </w:pPr>
      <w:hyperlink r:id="rId162" w:history="1">
        <w:r w:rsidR="00760026" w:rsidRPr="00EC6811">
          <w:rPr>
            <w:sz w:val="20"/>
          </w:rPr>
          <w:t>Beyens</w:t>
        </w:r>
      </w:hyperlink>
      <w:r w:rsidR="00760026" w:rsidRPr="00EC6811">
        <w:rPr>
          <w:sz w:val="20"/>
        </w:rPr>
        <w:t xml:space="preserve">, </w:t>
      </w:r>
      <w:hyperlink r:id="rId163" w:history="1">
        <w:r w:rsidR="00760026" w:rsidRPr="00EC6811">
          <w:rPr>
            <w:sz w:val="20"/>
          </w:rPr>
          <w:t>Pierre</w:t>
        </w:r>
      </w:hyperlink>
      <w:r w:rsidR="00760026" w:rsidRPr="00EC6811">
        <w:rPr>
          <w:sz w:val="20"/>
        </w:rPr>
        <w:t xml:space="preserve">, </w:t>
      </w:r>
      <w:hyperlink r:id="rId164" w:history="1">
        <w:r w:rsidR="00760026" w:rsidRPr="00EC6811">
          <w:rPr>
            <w:sz w:val="20"/>
          </w:rPr>
          <w:t>Vermeulen</w:t>
        </w:r>
      </w:hyperlink>
      <w:r w:rsidR="00760026" w:rsidRPr="00EC6811">
        <w:rPr>
          <w:sz w:val="20"/>
        </w:rPr>
        <w:t xml:space="preserve">, </w:t>
      </w:r>
      <w:hyperlink r:id="rId165" w:history="1">
        <w:r w:rsidR="00760026" w:rsidRPr="00EC6811">
          <w:rPr>
            <w:sz w:val="20"/>
          </w:rPr>
          <w:t>Valéry</w:t>
        </w:r>
      </w:hyperlink>
      <w:r w:rsidR="00760026" w:rsidRPr="00EC6811">
        <w:rPr>
          <w:sz w:val="20"/>
        </w:rPr>
        <w:t xml:space="preserve">,  La concurrence déloyale, </w:t>
      </w:r>
      <w:hyperlink r:id="rId166" w:history="1">
        <w:r w:rsidR="00760026" w:rsidRPr="00EC6811">
          <w:rPr>
            <w:rStyle w:val="Lienhypertexte"/>
            <w:sz w:val="20"/>
          </w:rPr>
          <w:t>http://goo.gl/T83St</w:t>
        </w:r>
      </w:hyperlink>
      <w:r w:rsidR="00760026" w:rsidRPr="00EC6811">
        <w:rPr>
          <w:sz w:val="20"/>
        </w:rPr>
        <w:t xml:space="preserve"> , consulté</w:t>
      </w:r>
      <w:r w:rsidR="00760026">
        <w:rPr>
          <w:sz w:val="20"/>
        </w:rPr>
        <w:t xml:space="preserve"> la dernière fois le 14/03/2012</w:t>
      </w:r>
    </w:p>
    <w:p w14:paraId="0693BAA7" w14:textId="77777777" w:rsidR="00760026" w:rsidRPr="00EC6811" w:rsidRDefault="00760026" w:rsidP="0086187F">
      <w:pPr>
        <w:pStyle w:val="Notedebasdepage"/>
        <w:numPr>
          <w:ilvl w:val="0"/>
          <w:numId w:val="65"/>
        </w:numPr>
        <w:spacing w:before="120"/>
        <w:ind w:left="426" w:hanging="426"/>
        <w:jc w:val="both"/>
        <w:rPr>
          <w:sz w:val="20"/>
        </w:rPr>
      </w:pPr>
      <w:r w:rsidRPr="00EC6811">
        <w:rPr>
          <w:sz w:val="20"/>
        </w:rPr>
        <w:t xml:space="preserve">Centre de ressources pour l'enseignement professionnel en économie-gestion, </w:t>
      </w:r>
      <w:hyperlink r:id="rId167" w:history="1">
        <w:r w:rsidRPr="00EC6811">
          <w:rPr>
            <w:sz w:val="20"/>
          </w:rPr>
          <w:t>http://goo.gl/m8oZE</w:t>
        </w:r>
      </w:hyperlink>
      <w:r>
        <w:rPr>
          <w:sz w:val="20"/>
        </w:rPr>
        <w:t>, 28/10/2011</w:t>
      </w:r>
    </w:p>
    <w:p w14:paraId="0693BAA8" w14:textId="77777777" w:rsidR="00760026" w:rsidRPr="00EC6811" w:rsidRDefault="00760026" w:rsidP="0086187F">
      <w:pPr>
        <w:pStyle w:val="Notedebasdepage"/>
        <w:numPr>
          <w:ilvl w:val="0"/>
          <w:numId w:val="65"/>
        </w:numPr>
        <w:spacing w:before="120"/>
        <w:ind w:left="426" w:hanging="426"/>
        <w:rPr>
          <w:sz w:val="20"/>
        </w:rPr>
      </w:pPr>
      <w:r w:rsidRPr="00EC6811">
        <w:rPr>
          <w:sz w:val="20"/>
        </w:rPr>
        <w:t xml:space="preserve">Commission des Clauses Abusives, </w:t>
      </w:r>
      <w:r w:rsidRPr="00EC6811">
        <w:rPr>
          <w:i/>
          <w:sz w:val="20"/>
        </w:rPr>
        <w:t xml:space="preserve">Avis sur le régime des clauses abusives dans la proposition de directive relative aux droits des consommateurs, </w:t>
      </w:r>
      <w:r w:rsidRPr="00EC6811">
        <w:rPr>
          <w:sz w:val="20"/>
        </w:rPr>
        <w:t xml:space="preserve">Bruxelles, 9 juin 2010, </w:t>
      </w:r>
      <w:hyperlink r:id="rId168" w:history="1">
        <w:r w:rsidRPr="00EC6811">
          <w:rPr>
            <w:rStyle w:val="Lienhypertexte"/>
            <w:rFonts w:eastAsia="Calibri"/>
            <w:sz w:val="20"/>
          </w:rPr>
          <w:t>http://goo.gl/koVVz</w:t>
        </w:r>
      </w:hyperlink>
      <w:r w:rsidRPr="00EC6811">
        <w:rPr>
          <w:sz w:val="20"/>
        </w:rPr>
        <w:t>, consulté le 09.04.2012</w:t>
      </w:r>
    </w:p>
    <w:p w14:paraId="0693BAA9" w14:textId="77777777" w:rsidR="00760026" w:rsidRPr="00760026" w:rsidRDefault="00760026" w:rsidP="00760026">
      <w:pPr>
        <w:pStyle w:val="Notedebasdepage"/>
        <w:numPr>
          <w:ilvl w:val="0"/>
          <w:numId w:val="65"/>
        </w:numPr>
        <w:spacing w:before="120"/>
        <w:ind w:left="426" w:hanging="426"/>
        <w:rPr>
          <w:sz w:val="20"/>
        </w:rPr>
      </w:pPr>
      <w:r w:rsidRPr="00760026">
        <w:rPr>
          <w:sz w:val="20"/>
        </w:rPr>
        <w:t xml:space="preserve">DENIS, Philippe, Droit des Affaires, Larcier – Manuels, Belgique, 2012, </w:t>
      </w:r>
      <w:r>
        <w:rPr>
          <w:sz w:val="20"/>
        </w:rPr>
        <w:t>206 p.</w:t>
      </w:r>
    </w:p>
    <w:p w14:paraId="0693BAAA" w14:textId="77777777" w:rsidR="00760026" w:rsidRPr="00EC6811" w:rsidRDefault="00760026" w:rsidP="0086187F">
      <w:pPr>
        <w:pStyle w:val="Notedebasdepage"/>
        <w:numPr>
          <w:ilvl w:val="0"/>
          <w:numId w:val="65"/>
        </w:numPr>
        <w:tabs>
          <w:tab w:val="left" w:pos="426"/>
        </w:tabs>
        <w:spacing w:before="120"/>
        <w:ind w:left="426" w:hanging="426"/>
        <w:rPr>
          <w:sz w:val="20"/>
        </w:rPr>
      </w:pPr>
      <w:r w:rsidRPr="00EC6811">
        <w:rPr>
          <w:sz w:val="20"/>
        </w:rPr>
        <w:t xml:space="preserve">Ec.europa.eu, </w:t>
      </w:r>
      <w:hyperlink r:id="rId169" w:history="1">
        <w:r w:rsidRPr="00EC6811">
          <w:rPr>
            <w:rStyle w:val="Lienhypertexte"/>
            <w:sz w:val="20"/>
          </w:rPr>
          <w:t>http://goo.gl/hkgVs</w:t>
        </w:r>
      </w:hyperlink>
      <w:r w:rsidRPr="00EC6811">
        <w:rPr>
          <w:sz w:val="20"/>
        </w:rPr>
        <w:t>, consulté le 04.04.2012</w:t>
      </w:r>
    </w:p>
    <w:p w14:paraId="0693BAAB" w14:textId="77777777" w:rsidR="00760026" w:rsidRPr="00EC6811" w:rsidRDefault="00760026" w:rsidP="0086187F">
      <w:pPr>
        <w:pStyle w:val="Notedebasdepage"/>
        <w:numPr>
          <w:ilvl w:val="0"/>
          <w:numId w:val="65"/>
        </w:numPr>
        <w:spacing w:before="120"/>
        <w:ind w:left="426" w:hanging="426"/>
        <w:rPr>
          <w:sz w:val="20"/>
        </w:rPr>
      </w:pPr>
      <w:r w:rsidRPr="00EC6811">
        <w:rPr>
          <w:sz w:val="20"/>
        </w:rPr>
        <w:t xml:space="preserve">E-justice, </w:t>
      </w:r>
      <w:hyperlink r:id="rId170" w:history="1">
        <w:r w:rsidRPr="00EC6811">
          <w:rPr>
            <w:rStyle w:val="Lienhypertexte"/>
            <w:rFonts w:eastAsia="Calibri"/>
            <w:sz w:val="20"/>
          </w:rPr>
          <w:t>http://goo.gl/JATcI</w:t>
        </w:r>
      </w:hyperlink>
      <w:r w:rsidRPr="00EC6811">
        <w:rPr>
          <w:sz w:val="20"/>
        </w:rPr>
        <w:t>, consulté le 09.04.2012</w:t>
      </w:r>
    </w:p>
    <w:p w14:paraId="0693BAAC" w14:textId="77777777" w:rsidR="00760026" w:rsidRPr="00EC6811" w:rsidRDefault="00760026" w:rsidP="0086187F">
      <w:pPr>
        <w:pStyle w:val="Notedebasdepage"/>
        <w:numPr>
          <w:ilvl w:val="0"/>
          <w:numId w:val="65"/>
        </w:numPr>
        <w:spacing w:before="120"/>
        <w:ind w:left="426" w:hanging="426"/>
        <w:rPr>
          <w:sz w:val="20"/>
        </w:rPr>
      </w:pPr>
      <w:r w:rsidRPr="00EC6811">
        <w:rPr>
          <w:sz w:val="20"/>
        </w:rPr>
        <w:t>E-justice, http://goo.gl/JATcI, consulté le 3 avril 2012</w:t>
      </w:r>
    </w:p>
    <w:p w14:paraId="0693BAAD" w14:textId="77777777" w:rsidR="00760026" w:rsidRPr="00EC6811" w:rsidRDefault="00760026" w:rsidP="0086187F">
      <w:pPr>
        <w:pStyle w:val="Notedebasdepage"/>
        <w:numPr>
          <w:ilvl w:val="0"/>
          <w:numId w:val="65"/>
        </w:numPr>
        <w:tabs>
          <w:tab w:val="left" w:pos="426"/>
        </w:tabs>
        <w:spacing w:before="120"/>
        <w:ind w:left="426" w:hanging="426"/>
        <w:rPr>
          <w:sz w:val="20"/>
          <w:lang w:eastAsia="en-US"/>
        </w:rPr>
      </w:pPr>
      <w:r w:rsidRPr="00EC6811">
        <w:rPr>
          <w:sz w:val="20"/>
        </w:rPr>
        <w:t xml:space="preserve">E-justice, </w:t>
      </w:r>
      <w:hyperlink r:id="rId171" w:history="1">
        <w:r w:rsidRPr="00EC6811">
          <w:rPr>
            <w:rStyle w:val="Lienhypertexte"/>
            <w:rFonts w:eastAsia="Calibri"/>
            <w:sz w:val="20"/>
          </w:rPr>
          <w:t>http://goo.gl/qxIGu</w:t>
        </w:r>
      </w:hyperlink>
      <w:r w:rsidRPr="00EC6811">
        <w:rPr>
          <w:sz w:val="20"/>
        </w:rPr>
        <w:t>, consulté le 04.04.2012</w:t>
      </w:r>
    </w:p>
    <w:p w14:paraId="0693BAAE" w14:textId="77777777" w:rsidR="00760026" w:rsidRPr="00EC6811" w:rsidRDefault="00760026" w:rsidP="0086187F">
      <w:pPr>
        <w:pStyle w:val="Notedebasdepage"/>
        <w:numPr>
          <w:ilvl w:val="0"/>
          <w:numId w:val="65"/>
        </w:numPr>
        <w:spacing w:before="120"/>
        <w:ind w:left="426" w:hanging="426"/>
        <w:rPr>
          <w:sz w:val="20"/>
        </w:rPr>
      </w:pPr>
      <w:r w:rsidRPr="00EC6811">
        <w:rPr>
          <w:sz w:val="20"/>
        </w:rPr>
        <w:t xml:space="preserve">Hardy, Benoît, </w:t>
      </w:r>
      <w:hyperlink r:id="rId172" w:history="1">
        <w:r w:rsidRPr="00EC6811">
          <w:rPr>
            <w:sz w:val="20"/>
          </w:rPr>
          <w:t>http://blog.sedlex.be/?tag=concurrence-deloyale</w:t>
        </w:r>
      </w:hyperlink>
      <w:r w:rsidRPr="00EC6811">
        <w:rPr>
          <w:sz w:val="20"/>
        </w:rPr>
        <w:t>, consulté</w:t>
      </w:r>
      <w:r>
        <w:rPr>
          <w:sz w:val="20"/>
        </w:rPr>
        <w:t xml:space="preserve"> la dernière fois le 14/03/2012</w:t>
      </w:r>
    </w:p>
    <w:p w14:paraId="0693BAAF" w14:textId="77777777" w:rsidR="00760026" w:rsidRPr="00EC6811" w:rsidRDefault="00760026" w:rsidP="0086187F">
      <w:pPr>
        <w:pStyle w:val="Notedebasdepage"/>
        <w:numPr>
          <w:ilvl w:val="0"/>
          <w:numId w:val="65"/>
        </w:numPr>
        <w:spacing w:before="120"/>
        <w:ind w:left="426" w:hanging="426"/>
        <w:rPr>
          <w:sz w:val="20"/>
        </w:rPr>
      </w:pPr>
      <w:r w:rsidRPr="00EC6811">
        <w:rPr>
          <w:sz w:val="20"/>
        </w:rPr>
        <w:t>Interex, http://tinyurl.com</w:t>
      </w:r>
      <w:r>
        <w:rPr>
          <w:sz w:val="20"/>
        </w:rPr>
        <w:t>/2j2ann, consulté le 20/03/2008</w:t>
      </w:r>
    </w:p>
    <w:p w14:paraId="0693BAB0" w14:textId="77777777" w:rsidR="00760026" w:rsidRDefault="00760026" w:rsidP="0086187F">
      <w:pPr>
        <w:numPr>
          <w:ilvl w:val="0"/>
          <w:numId w:val="65"/>
        </w:numPr>
        <w:spacing w:before="120"/>
        <w:ind w:left="426" w:hanging="426"/>
        <w:rPr>
          <w:szCs w:val="20"/>
        </w:rPr>
      </w:pPr>
      <w:r>
        <w:rPr>
          <w:szCs w:val="20"/>
        </w:rPr>
        <w:t xml:space="preserve">Juridat, </w:t>
      </w:r>
      <w:hyperlink r:id="rId173" w:history="1">
        <w:r w:rsidRPr="00B845E2">
          <w:rPr>
            <w:rStyle w:val="Lienhypertexte"/>
            <w:szCs w:val="20"/>
          </w:rPr>
          <w:t>http://www.juridat.be</w:t>
        </w:r>
      </w:hyperlink>
      <w:r>
        <w:rPr>
          <w:szCs w:val="20"/>
        </w:rPr>
        <w:t>, consulté la dernière fois le 19/05/2013</w:t>
      </w:r>
    </w:p>
    <w:p w14:paraId="0693BAB1" w14:textId="77777777" w:rsidR="00760026" w:rsidRPr="00EC6811" w:rsidRDefault="00760026" w:rsidP="0086187F">
      <w:pPr>
        <w:pStyle w:val="Notedebasdepage"/>
        <w:numPr>
          <w:ilvl w:val="0"/>
          <w:numId w:val="65"/>
        </w:numPr>
        <w:spacing w:before="120"/>
        <w:ind w:left="426" w:hanging="426"/>
        <w:rPr>
          <w:sz w:val="20"/>
        </w:rPr>
      </w:pPr>
      <w:r w:rsidRPr="00EC6811">
        <w:rPr>
          <w:rStyle w:val="exemple1"/>
          <w:rFonts w:ascii="Trebuchet MS" w:hAnsi="Trebuchet MS"/>
          <w:sz w:val="20"/>
          <w:szCs w:val="20"/>
        </w:rPr>
        <w:t xml:space="preserve">LAFFINEUR Jacques, </w:t>
      </w:r>
      <w:r w:rsidRPr="00EC6811">
        <w:rPr>
          <w:rStyle w:val="exemple1"/>
          <w:rFonts w:ascii="Trebuchet MS" w:hAnsi="Trebuchet MS"/>
          <w:i/>
          <w:iCs/>
          <w:sz w:val="20"/>
          <w:szCs w:val="20"/>
        </w:rPr>
        <w:t>Protection du consommateur, pratiques commerciales et T.I.C.</w:t>
      </w:r>
      <w:r w:rsidRPr="00EC6811">
        <w:rPr>
          <w:rStyle w:val="exemple1"/>
          <w:rFonts w:ascii="Trebuchet MS" w:hAnsi="Trebuchet MS"/>
          <w:sz w:val="20"/>
          <w:szCs w:val="20"/>
        </w:rPr>
        <w:t>, Liège, Anthemis, 2009, pp. 162-176</w:t>
      </w:r>
    </w:p>
    <w:p w14:paraId="0693BAB2" w14:textId="77777777" w:rsidR="00760026" w:rsidRPr="00EC6811" w:rsidRDefault="00760026" w:rsidP="0086187F">
      <w:pPr>
        <w:numPr>
          <w:ilvl w:val="0"/>
          <w:numId w:val="65"/>
        </w:numPr>
        <w:spacing w:before="120"/>
        <w:ind w:left="426" w:hanging="426"/>
        <w:rPr>
          <w:szCs w:val="20"/>
        </w:rPr>
      </w:pPr>
      <w:r w:rsidRPr="00EC6811">
        <w:rPr>
          <w:szCs w:val="20"/>
        </w:rPr>
        <w:t xml:space="preserve">Site du droit belge – Loi sur la continuité des entreprises, </w:t>
      </w:r>
      <w:hyperlink r:id="rId174" w:history="1">
        <w:r w:rsidRPr="00EC6811">
          <w:rPr>
            <w:rStyle w:val="Lienhypertexte"/>
            <w:szCs w:val="20"/>
          </w:rPr>
          <w:t>http://goo.gl/ziYki</w:t>
        </w:r>
      </w:hyperlink>
      <w:r>
        <w:rPr>
          <w:szCs w:val="20"/>
        </w:rPr>
        <w:t>, 23/04/2011</w:t>
      </w:r>
    </w:p>
    <w:p w14:paraId="75ECC0C4" w14:textId="77777777" w:rsidR="00A871A5" w:rsidRPr="00A871A5" w:rsidRDefault="00A871A5" w:rsidP="00A871A5">
      <w:pPr>
        <w:pStyle w:val="Notedebasdepage"/>
        <w:numPr>
          <w:ilvl w:val="0"/>
          <w:numId w:val="65"/>
        </w:numPr>
        <w:spacing w:before="120"/>
        <w:rPr>
          <w:sz w:val="20"/>
        </w:rPr>
      </w:pPr>
      <w:r w:rsidRPr="00A871A5">
        <w:rPr>
          <w:sz w:val="20"/>
        </w:rPr>
        <w:t>SPF Economie – Connaissances de gestion de base, Syllabus de préparation à l’examen auprès du Jury Central du Service public fédéral Economie, P.M.E., Classes moyennes et Energie</w:t>
      </w:r>
      <w:r>
        <w:rPr>
          <w:sz w:val="20"/>
        </w:rPr>
        <w:t>, Bruxelles, 2013, 248 p.</w:t>
      </w:r>
    </w:p>
    <w:p w14:paraId="0693BAB3" w14:textId="77777777" w:rsidR="00760026" w:rsidRPr="00EC6811" w:rsidRDefault="00760026" w:rsidP="00AB69F5">
      <w:pPr>
        <w:pStyle w:val="Notedebasdepage"/>
        <w:numPr>
          <w:ilvl w:val="0"/>
          <w:numId w:val="65"/>
        </w:numPr>
        <w:tabs>
          <w:tab w:val="left" w:pos="434"/>
        </w:tabs>
        <w:spacing w:before="120"/>
        <w:ind w:left="426" w:hanging="426"/>
        <w:rPr>
          <w:sz w:val="20"/>
        </w:rPr>
      </w:pPr>
      <w:r w:rsidRPr="00AB69F5">
        <w:rPr>
          <w:sz w:val="20"/>
        </w:rPr>
        <w:t xml:space="preserve">SPF Economie – Offres conjointes, </w:t>
      </w:r>
      <w:hyperlink r:id="rId175" w:history="1">
        <w:r w:rsidRPr="00AB69F5">
          <w:rPr>
            <w:rStyle w:val="Lienhypertexte"/>
            <w:sz w:val="20"/>
          </w:rPr>
          <w:t>http://goo.gl/pbPpp</w:t>
        </w:r>
      </w:hyperlink>
      <w:r w:rsidRPr="00AB69F5">
        <w:rPr>
          <w:sz w:val="20"/>
        </w:rPr>
        <w:t>, consulté la dernière fois le 19/05/2013.</w:t>
      </w:r>
    </w:p>
    <w:p w14:paraId="0693BAB4" w14:textId="39A45557" w:rsidR="00760026" w:rsidRDefault="00760026" w:rsidP="0086187F">
      <w:pPr>
        <w:pStyle w:val="Notedebasdepage"/>
        <w:numPr>
          <w:ilvl w:val="0"/>
          <w:numId w:val="65"/>
        </w:numPr>
        <w:spacing w:before="120"/>
        <w:ind w:left="426" w:hanging="426"/>
        <w:rPr>
          <w:sz w:val="20"/>
        </w:rPr>
      </w:pPr>
      <w:r w:rsidRPr="00EC6811">
        <w:rPr>
          <w:sz w:val="20"/>
        </w:rPr>
        <w:t xml:space="preserve">SPF économie, </w:t>
      </w:r>
      <w:hyperlink r:id="rId176" w:history="1">
        <w:r w:rsidRPr="00EC6811">
          <w:rPr>
            <w:rStyle w:val="Lienhypertexte"/>
            <w:rFonts w:eastAsia="Calibri"/>
            <w:sz w:val="20"/>
          </w:rPr>
          <w:t>http://goo.gl/XENlq</w:t>
        </w:r>
      </w:hyperlink>
      <w:r w:rsidRPr="00EC6811">
        <w:rPr>
          <w:sz w:val="20"/>
        </w:rPr>
        <w:t>, consulté le 07</w:t>
      </w:r>
      <w:r w:rsidR="00A871A5">
        <w:rPr>
          <w:sz w:val="20"/>
        </w:rPr>
        <w:t>/</w:t>
      </w:r>
      <w:r w:rsidRPr="00EC6811">
        <w:rPr>
          <w:sz w:val="20"/>
        </w:rPr>
        <w:t>04</w:t>
      </w:r>
      <w:r w:rsidR="00A871A5">
        <w:rPr>
          <w:sz w:val="20"/>
        </w:rPr>
        <w:t>/</w:t>
      </w:r>
      <w:r w:rsidRPr="00EC6811">
        <w:rPr>
          <w:sz w:val="20"/>
        </w:rPr>
        <w:t>2012</w:t>
      </w:r>
      <w:r w:rsidR="00A871A5">
        <w:rPr>
          <w:sz w:val="20"/>
        </w:rPr>
        <w:t>.</w:t>
      </w:r>
    </w:p>
    <w:p w14:paraId="4CD51DAE" w14:textId="77777777" w:rsidR="00A871A5" w:rsidRPr="00A871A5" w:rsidRDefault="00A871A5" w:rsidP="00A871A5">
      <w:pPr>
        <w:pStyle w:val="Paragraphedeliste"/>
        <w:numPr>
          <w:ilvl w:val="0"/>
          <w:numId w:val="65"/>
        </w:numPr>
        <w:shd w:val="clear" w:color="auto" w:fill="333333"/>
        <w:spacing w:after="120"/>
        <w:rPr>
          <w:rFonts w:ascii="Arial" w:hAnsi="Arial" w:cs="Arial"/>
          <w:vanish/>
          <w:color w:val="FFFFFF"/>
          <w:sz w:val="28"/>
          <w:szCs w:val="28"/>
          <w:lang w:val="fr-FR" w:eastAsia="fr-BE"/>
        </w:rPr>
      </w:pPr>
      <w:r w:rsidRPr="00A871A5">
        <w:rPr>
          <w:rFonts w:ascii="Arial" w:hAnsi="Arial" w:cs="Arial"/>
          <w:vanish/>
          <w:color w:val="FFFFFF"/>
          <w:sz w:val="28"/>
          <w:szCs w:val="28"/>
          <w:lang w:val="fr-FR" w:eastAsia="fr-BE"/>
        </w:rPr>
        <w:t>Connaissances de gestion de base</w:t>
      </w:r>
    </w:p>
    <w:p w14:paraId="26E0820A" w14:textId="77777777" w:rsidR="00A871A5" w:rsidRPr="00A871A5" w:rsidRDefault="00A871A5" w:rsidP="00A871A5">
      <w:pPr>
        <w:pStyle w:val="Paragraphedeliste"/>
        <w:numPr>
          <w:ilvl w:val="0"/>
          <w:numId w:val="65"/>
        </w:numPr>
        <w:shd w:val="clear" w:color="auto" w:fill="333333"/>
        <w:spacing w:after="120"/>
        <w:rPr>
          <w:rFonts w:ascii="Arial" w:hAnsi="Arial" w:cs="Arial"/>
          <w:vanish/>
          <w:color w:val="FFFFFF"/>
          <w:sz w:val="21"/>
          <w:szCs w:val="21"/>
          <w:lang w:val="fr-FR" w:eastAsia="fr-BE"/>
        </w:rPr>
      </w:pPr>
      <w:r w:rsidRPr="00A871A5">
        <w:rPr>
          <w:rFonts w:ascii="Arial" w:hAnsi="Arial" w:cs="Arial"/>
          <w:vanish/>
          <w:color w:val="FFFFFF"/>
          <w:sz w:val="21"/>
          <w:szCs w:val="21"/>
          <w:lang w:val="fr-FR" w:eastAsia="fr-BE"/>
        </w:rPr>
        <w:t>Syllabus de préparation à l’examen</w:t>
      </w:r>
    </w:p>
    <w:p w14:paraId="0DE98DB5" w14:textId="77777777" w:rsidR="00A871A5" w:rsidRPr="00A871A5" w:rsidRDefault="00A871A5" w:rsidP="00A871A5">
      <w:pPr>
        <w:pStyle w:val="Paragraphedeliste"/>
        <w:numPr>
          <w:ilvl w:val="0"/>
          <w:numId w:val="65"/>
        </w:numPr>
        <w:shd w:val="clear" w:color="auto" w:fill="333333"/>
        <w:spacing w:after="120"/>
        <w:rPr>
          <w:rFonts w:ascii="Arial" w:hAnsi="Arial" w:cs="Arial"/>
          <w:vanish/>
          <w:color w:val="FFFFFF"/>
          <w:sz w:val="21"/>
          <w:szCs w:val="21"/>
          <w:lang w:val="fr-FR" w:eastAsia="fr-BE"/>
        </w:rPr>
      </w:pPr>
      <w:r w:rsidRPr="00A871A5">
        <w:rPr>
          <w:rFonts w:ascii="Arial" w:hAnsi="Arial" w:cs="Arial"/>
          <w:vanish/>
          <w:color w:val="FFFFFF"/>
          <w:sz w:val="21"/>
          <w:szCs w:val="21"/>
          <w:lang w:val="fr-FR" w:eastAsia="fr-BE"/>
        </w:rPr>
        <w:t>auprès du Jury Central du</w:t>
      </w:r>
    </w:p>
    <w:p w14:paraId="53EE0496" w14:textId="77777777" w:rsidR="00A871A5" w:rsidRPr="00A871A5" w:rsidRDefault="00A871A5" w:rsidP="00A871A5">
      <w:pPr>
        <w:pStyle w:val="Paragraphedeliste"/>
        <w:numPr>
          <w:ilvl w:val="0"/>
          <w:numId w:val="65"/>
        </w:numPr>
        <w:shd w:val="clear" w:color="auto" w:fill="333333"/>
        <w:spacing w:after="120"/>
        <w:rPr>
          <w:rFonts w:ascii="Arial" w:hAnsi="Arial" w:cs="Arial"/>
          <w:vanish/>
          <w:color w:val="FFFFFF"/>
          <w:sz w:val="21"/>
          <w:szCs w:val="21"/>
          <w:lang w:val="fr-FR" w:eastAsia="fr-BE"/>
        </w:rPr>
      </w:pPr>
      <w:r w:rsidRPr="00A871A5">
        <w:rPr>
          <w:rFonts w:ascii="Arial" w:hAnsi="Arial" w:cs="Arial"/>
          <w:vanish/>
          <w:color w:val="FFFFFF"/>
          <w:sz w:val="21"/>
          <w:szCs w:val="21"/>
          <w:lang w:val="fr-FR" w:eastAsia="fr-BE"/>
        </w:rPr>
        <w:t>Service public fédéral Economie,</w:t>
      </w:r>
    </w:p>
    <w:p w14:paraId="6D32D24B" w14:textId="77777777" w:rsidR="00A871A5" w:rsidRPr="00A871A5" w:rsidRDefault="00A871A5" w:rsidP="00A871A5">
      <w:pPr>
        <w:pStyle w:val="Paragraphedeliste"/>
        <w:numPr>
          <w:ilvl w:val="0"/>
          <w:numId w:val="65"/>
        </w:numPr>
        <w:shd w:val="clear" w:color="auto" w:fill="333333"/>
        <w:spacing w:after="120"/>
        <w:rPr>
          <w:rFonts w:ascii="Arial" w:hAnsi="Arial" w:cs="Arial"/>
          <w:vanish/>
          <w:color w:val="FFFFFF"/>
          <w:sz w:val="21"/>
          <w:szCs w:val="21"/>
          <w:lang w:val="fr-FR" w:eastAsia="fr-BE"/>
        </w:rPr>
      </w:pPr>
      <w:r w:rsidRPr="00A871A5">
        <w:rPr>
          <w:rFonts w:ascii="Arial" w:hAnsi="Arial" w:cs="Arial"/>
          <w:vanish/>
          <w:color w:val="FFFFFF"/>
          <w:sz w:val="21"/>
          <w:szCs w:val="21"/>
          <w:lang w:val="fr-FR" w:eastAsia="fr-BE"/>
        </w:rPr>
        <w:t>P.M.E., Classes moyennes et Energie</w:t>
      </w:r>
    </w:p>
    <w:p w14:paraId="0693BAB5" w14:textId="77777777" w:rsidR="00760026" w:rsidRDefault="00760026" w:rsidP="00636C01">
      <w:pPr>
        <w:pStyle w:val="Notedebasdepage"/>
        <w:numPr>
          <w:ilvl w:val="0"/>
          <w:numId w:val="65"/>
        </w:numPr>
        <w:tabs>
          <w:tab w:val="left" w:pos="426"/>
        </w:tabs>
        <w:spacing w:before="120"/>
        <w:rPr>
          <w:sz w:val="20"/>
        </w:rPr>
      </w:pPr>
      <w:r w:rsidRPr="00636C01">
        <w:rPr>
          <w:sz w:val="20"/>
        </w:rPr>
        <w:t xml:space="preserve">Test Achats – Offres conjointes, </w:t>
      </w:r>
      <w:r w:rsidRPr="00636C01">
        <w:rPr>
          <w:rStyle w:val="Lienhypertexte"/>
          <w:sz w:val="20"/>
        </w:rPr>
        <w:t>http://goo.gl/vOznE</w:t>
      </w:r>
      <w:r w:rsidRPr="00636C01">
        <w:rPr>
          <w:sz w:val="20"/>
        </w:rPr>
        <w:t>, consulté</w:t>
      </w:r>
      <w:r>
        <w:rPr>
          <w:sz w:val="20"/>
        </w:rPr>
        <w:t xml:space="preserve"> la dernière fois le 19/05/2013</w:t>
      </w:r>
    </w:p>
    <w:p w14:paraId="0693BAB6" w14:textId="77777777" w:rsidR="00760026" w:rsidRDefault="00760026" w:rsidP="00AD495C">
      <w:pPr>
        <w:pStyle w:val="Notedebasdepage"/>
        <w:numPr>
          <w:ilvl w:val="0"/>
          <w:numId w:val="65"/>
        </w:numPr>
        <w:tabs>
          <w:tab w:val="left" w:pos="426"/>
        </w:tabs>
        <w:spacing w:before="120"/>
        <w:rPr>
          <w:sz w:val="20"/>
        </w:rPr>
      </w:pPr>
      <w:r w:rsidRPr="00AD495C">
        <w:rPr>
          <w:sz w:val="20"/>
        </w:rPr>
        <w:t xml:space="preserve">Test-Achats – Offres conjointes, </w:t>
      </w:r>
      <w:r w:rsidRPr="00AD495C">
        <w:rPr>
          <w:rStyle w:val="Lienhypertexte"/>
          <w:sz w:val="20"/>
        </w:rPr>
        <w:t>http://goo.gl/5O7L2</w:t>
      </w:r>
      <w:r w:rsidRPr="00AD495C">
        <w:rPr>
          <w:sz w:val="20"/>
        </w:rPr>
        <w:t>, consulté</w:t>
      </w:r>
      <w:r>
        <w:rPr>
          <w:sz w:val="20"/>
        </w:rPr>
        <w:t xml:space="preserve"> la dernière fois le 19/05/2013</w:t>
      </w:r>
    </w:p>
    <w:p w14:paraId="0693BAB7" w14:textId="77777777" w:rsidR="00760026" w:rsidRDefault="00760026" w:rsidP="00FF4F3C">
      <w:pPr>
        <w:pStyle w:val="Notedebasdepage"/>
        <w:numPr>
          <w:ilvl w:val="0"/>
          <w:numId w:val="65"/>
        </w:numPr>
        <w:tabs>
          <w:tab w:val="left" w:pos="426"/>
        </w:tabs>
        <w:spacing w:before="120"/>
        <w:rPr>
          <w:sz w:val="20"/>
        </w:rPr>
      </w:pPr>
      <w:r w:rsidRPr="00FF4F3C">
        <w:rPr>
          <w:sz w:val="20"/>
        </w:rPr>
        <w:t xml:space="preserve">Test-Achats – Offres conjointes, </w:t>
      </w:r>
      <w:r w:rsidRPr="00FF4F3C">
        <w:rPr>
          <w:rStyle w:val="Lienhypertexte"/>
          <w:sz w:val="20"/>
        </w:rPr>
        <w:t>http://goo.gl/Pucas</w:t>
      </w:r>
      <w:r w:rsidRPr="00FF4F3C">
        <w:rPr>
          <w:sz w:val="20"/>
        </w:rPr>
        <w:t>, consulté</w:t>
      </w:r>
      <w:r>
        <w:rPr>
          <w:sz w:val="20"/>
        </w:rPr>
        <w:t xml:space="preserve"> la dernière fois le 19/05/2013</w:t>
      </w:r>
    </w:p>
    <w:p w14:paraId="1D3664D6" w14:textId="2ACBBB0C" w:rsidR="0095538F" w:rsidRDefault="0095538F" w:rsidP="0095538F">
      <w:pPr>
        <w:pStyle w:val="Notedebasdepage"/>
        <w:numPr>
          <w:ilvl w:val="0"/>
          <w:numId w:val="65"/>
        </w:numPr>
        <w:tabs>
          <w:tab w:val="left" w:pos="426"/>
        </w:tabs>
        <w:spacing w:before="120"/>
        <w:rPr>
          <w:sz w:val="20"/>
        </w:rPr>
      </w:pPr>
      <w:r w:rsidRPr="0095538F">
        <w:rPr>
          <w:sz w:val="20"/>
        </w:rPr>
        <w:t>VERNIER (Éric), Fraude fiscale et paradis fiscaux - Décrypter les pratiques pour mieux les combattre, Dunod, Paris, 2014, 179 p.</w:t>
      </w:r>
    </w:p>
    <w:p w14:paraId="0693BAB8" w14:textId="77777777" w:rsidR="00760026" w:rsidRDefault="00760026" w:rsidP="0086187F">
      <w:pPr>
        <w:pStyle w:val="Notedebasdepage"/>
        <w:numPr>
          <w:ilvl w:val="0"/>
          <w:numId w:val="65"/>
        </w:numPr>
        <w:tabs>
          <w:tab w:val="left" w:pos="426"/>
        </w:tabs>
        <w:spacing w:before="120"/>
        <w:ind w:left="426" w:hanging="426"/>
        <w:rPr>
          <w:sz w:val="20"/>
        </w:rPr>
      </w:pPr>
      <w:r w:rsidRPr="00EC6811">
        <w:rPr>
          <w:sz w:val="20"/>
        </w:rPr>
        <w:t xml:space="preserve">Vidéo sur les paradis fiscaux, </w:t>
      </w:r>
      <w:hyperlink r:id="rId177" w:history="1">
        <w:r w:rsidRPr="00EC6811">
          <w:rPr>
            <w:rStyle w:val="Lienhypertexte"/>
            <w:sz w:val="20"/>
          </w:rPr>
          <w:t>http://goo.gl/3vfHG</w:t>
        </w:r>
      </w:hyperlink>
      <w:r>
        <w:rPr>
          <w:sz w:val="20"/>
        </w:rPr>
        <w:t>, 19/07/2012</w:t>
      </w:r>
    </w:p>
    <w:p w14:paraId="0693BAB9" w14:textId="77777777" w:rsidR="00760026" w:rsidRDefault="00760026" w:rsidP="00636C01">
      <w:pPr>
        <w:pStyle w:val="Notedebasdepage"/>
        <w:numPr>
          <w:ilvl w:val="0"/>
          <w:numId w:val="65"/>
        </w:numPr>
        <w:spacing w:before="120"/>
        <w:ind w:left="426" w:hanging="426"/>
        <w:rPr>
          <w:sz w:val="20"/>
        </w:rPr>
      </w:pPr>
      <w:r w:rsidRPr="00B816B9">
        <w:rPr>
          <w:sz w:val="20"/>
        </w:rPr>
        <w:t xml:space="preserve">Wikipedia – Le droit objectif, </w:t>
      </w:r>
      <w:hyperlink r:id="rId178" w:anchor="Droit_objectif" w:history="1">
        <w:r w:rsidRPr="00B816B9">
          <w:rPr>
            <w:sz w:val="20"/>
          </w:rPr>
          <w:t>http://fr.wikipedia.org/wiki/Droit#Droit_objectif</w:t>
        </w:r>
      </w:hyperlink>
      <w:r w:rsidRPr="00B816B9">
        <w:rPr>
          <w:sz w:val="20"/>
        </w:rPr>
        <w:t>, 07/07/2013.</w:t>
      </w:r>
    </w:p>
    <w:sectPr w:rsidR="00760026" w:rsidSect="007D4425">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F0796" w14:textId="77777777" w:rsidR="004B53CC" w:rsidRDefault="004B53CC">
      <w:r>
        <w:separator/>
      </w:r>
    </w:p>
  </w:endnote>
  <w:endnote w:type="continuationSeparator" w:id="0">
    <w:p w14:paraId="358A5159" w14:textId="77777777" w:rsidR="004B53CC" w:rsidRDefault="004B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MPFMA+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3BAFF" w14:textId="26B0432E" w:rsidR="00105A84" w:rsidRPr="00650160" w:rsidRDefault="00105A84" w:rsidP="00650160">
    <w:pPr>
      <w:pStyle w:val="Pieddepage"/>
      <w:pBdr>
        <w:top w:val="single" w:sz="4" w:space="1" w:color="auto"/>
      </w:pBdr>
      <w:jc w:val="right"/>
      <w:rPr>
        <w:lang w:val="nl-BE"/>
      </w:rPr>
    </w:pPr>
    <w:r>
      <w:rPr>
        <w:lang w:val="nl-BE"/>
      </w:rPr>
      <w:t xml:space="preserve">© ICC / Kirsch – </w:t>
    </w:r>
    <w:r w:rsidRPr="00650160">
      <w:rPr>
        <w:b/>
        <w:lang w:val="nl-BE"/>
      </w:rPr>
      <w:t xml:space="preserve">P. </w:t>
    </w:r>
    <w:r w:rsidRPr="00650160">
      <w:rPr>
        <w:rStyle w:val="Numrodepage"/>
        <w:b/>
      </w:rPr>
      <w:fldChar w:fldCharType="begin"/>
    </w:r>
    <w:r w:rsidRPr="00650160">
      <w:rPr>
        <w:rStyle w:val="Numrodepage"/>
        <w:b/>
      </w:rPr>
      <w:instrText xml:space="preserve"> PAGE </w:instrText>
    </w:r>
    <w:r w:rsidRPr="00650160">
      <w:rPr>
        <w:rStyle w:val="Numrodepage"/>
        <w:b/>
      </w:rPr>
      <w:fldChar w:fldCharType="separate"/>
    </w:r>
    <w:r w:rsidR="00772723">
      <w:rPr>
        <w:rStyle w:val="Numrodepage"/>
        <w:b/>
        <w:noProof/>
      </w:rPr>
      <w:t>2</w:t>
    </w:r>
    <w:r w:rsidRPr="00650160">
      <w:rPr>
        <w:rStyle w:val="Numrodepage"/>
        <w:b/>
      </w:rPr>
      <w:fldChar w:fldCharType="end"/>
    </w:r>
    <w:r w:rsidRPr="00650160">
      <w:rPr>
        <w:rStyle w:val="Numrodepage"/>
        <w:b/>
      </w:rPr>
      <w:t xml:space="preserve"> de </w:t>
    </w:r>
    <w:r w:rsidRPr="00650160">
      <w:rPr>
        <w:rStyle w:val="Numrodepage"/>
        <w:b/>
      </w:rPr>
      <w:fldChar w:fldCharType="begin"/>
    </w:r>
    <w:r w:rsidRPr="00650160">
      <w:rPr>
        <w:rStyle w:val="Numrodepage"/>
        <w:b/>
      </w:rPr>
      <w:instrText xml:space="preserve"> NUMPAGES </w:instrText>
    </w:r>
    <w:r w:rsidRPr="00650160">
      <w:rPr>
        <w:rStyle w:val="Numrodepage"/>
        <w:b/>
      </w:rPr>
      <w:fldChar w:fldCharType="separate"/>
    </w:r>
    <w:r w:rsidR="00772723">
      <w:rPr>
        <w:rStyle w:val="Numrodepage"/>
        <w:b/>
        <w:noProof/>
      </w:rPr>
      <w:t>111</w:t>
    </w:r>
    <w:r w:rsidRPr="00650160">
      <w:rPr>
        <w:rStyle w:val="Numrodepage"/>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81556" w14:textId="77777777" w:rsidR="004B53CC" w:rsidRDefault="004B53CC">
      <w:r>
        <w:separator/>
      </w:r>
    </w:p>
  </w:footnote>
  <w:footnote w:type="continuationSeparator" w:id="0">
    <w:p w14:paraId="5EBB069D" w14:textId="77777777" w:rsidR="004B53CC" w:rsidRDefault="004B53CC">
      <w:r>
        <w:continuationSeparator/>
      </w:r>
    </w:p>
  </w:footnote>
  <w:footnote w:id="1">
    <w:p w14:paraId="0693BB00" w14:textId="77777777" w:rsidR="00105A84" w:rsidRPr="00951C83" w:rsidRDefault="00105A84" w:rsidP="009423C9">
      <w:pPr>
        <w:pStyle w:val="Notedebasdepage"/>
        <w:tabs>
          <w:tab w:val="left" w:pos="426"/>
        </w:tabs>
        <w:ind w:left="426" w:hanging="426"/>
        <w:jc w:val="both"/>
      </w:pPr>
      <w:r>
        <w:rPr>
          <w:rStyle w:val="Appelnotedebasdep"/>
        </w:rPr>
        <w:footnoteRef/>
      </w:r>
      <w:r>
        <w:t xml:space="preserve"> </w:t>
      </w:r>
      <w:r>
        <w:tab/>
      </w:r>
      <w:r w:rsidRPr="009423C9">
        <w:rPr>
          <w:sz w:val="20"/>
        </w:rPr>
        <w:t>Excepté le titre « </w:t>
      </w:r>
      <w:bookmarkStart w:id="2" w:name="OLE_LINK9"/>
      <w:bookmarkStart w:id="3" w:name="OLE_LINK10"/>
      <w:r w:rsidRPr="009423C9">
        <w:rPr>
          <w:sz w:val="20"/>
        </w:rPr>
        <w:t>Système d’évaluation continue et organisation de l’examen </w:t>
      </w:r>
      <w:bookmarkEnd w:id="2"/>
      <w:bookmarkEnd w:id="3"/>
      <w:r w:rsidRPr="009423C9">
        <w:rPr>
          <w:sz w:val="20"/>
        </w:rPr>
        <w:t>», tous les éléments d’information de cette présente introduction proviennent de la source suivante : MINISTERE DE LA COMMUNAUTE FRANCAISE - ADMINISTRATION GENERALE DE L’ENSEIGNEMENT ET DE LA RECHERCHE SCIENTIFIQUE - ENSEIGNEMENT DE PROMOTION SOCIALE DE REGIME 1, DOSSIER PEDAGOGIQUE de l’UNITE DE FORMATION « LEGISLATION ET DROIT COMMERCIAL »- ENSEIGNEMENT SUPERIEUR ECONOMIQUE DE TYPE COURT - CODE : 713302U32D1 - CODE DU DOMAINE DE FORMATION : 703 - DOCUMENT DE REFERENCE INTER-RESEAUX, approbation du Gouvernement de la Communauté française en cours.</w:t>
      </w:r>
    </w:p>
  </w:footnote>
  <w:footnote w:id="2">
    <w:p w14:paraId="0693BB01" w14:textId="77777777" w:rsidR="00105A84" w:rsidRPr="00951C83" w:rsidRDefault="00105A84" w:rsidP="005B7C65">
      <w:pPr>
        <w:pStyle w:val="Notedebasdepage"/>
        <w:tabs>
          <w:tab w:val="left" w:pos="426"/>
        </w:tabs>
        <w:ind w:left="426" w:hanging="426"/>
        <w:jc w:val="both"/>
      </w:pPr>
      <w:r>
        <w:rPr>
          <w:rStyle w:val="Appelnotedebasdep"/>
        </w:rPr>
        <w:footnoteRef/>
      </w:r>
      <w:r>
        <w:t xml:space="preserve"> </w:t>
      </w:r>
      <w:r>
        <w:tab/>
      </w:r>
      <w:r w:rsidRPr="005B7C65">
        <w:rPr>
          <w:sz w:val="20"/>
        </w:rPr>
        <w:t xml:space="preserve">Voir à ce propos le Règlement d’ordre intérieur </w:t>
      </w:r>
      <w:bookmarkStart w:id="16" w:name="OLE_LINK11"/>
      <w:bookmarkStart w:id="17" w:name="OLE_LINK12"/>
      <w:r w:rsidRPr="005B7C65">
        <w:rPr>
          <w:sz w:val="20"/>
        </w:rPr>
        <w:t>reçu et approuvé à l’inscription, disponible en ligne sur le site de l’ICC (</w:t>
      </w:r>
      <w:hyperlink r:id="rId1" w:history="1">
        <w:r w:rsidRPr="005B7C65">
          <w:rPr>
            <w:rStyle w:val="Lienhypertexte"/>
            <w:sz w:val="20"/>
          </w:rPr>
          <w:t>http://www.iccbxl.be</w:t>
        </w:r>
      </w:hyperlink>
      <w:r w:rsidRPr="005B7C65">
        <w:rPr>
          <w:sz w:val="20"/>
        </w:rPr>
        <w:t>).</w:t>
      </w:r>
      <w:bookmarkEnd w:id="16"/>
      <w:bookmarkEnd w:id="17"/>
      <w:r>
        <w:t xml:space="preserve"> </w:t>
      </w:r>
    </w:p>
  </w:footnote>
  <w:footnote w:id="3">
    <w:p w14:paraId="0693BB02" w14:textId="77777777" w:rsidR="00105A84" w:rsidRPr="001A6B4E" w:rsidRDefault="00105A84" w:rsidP="005B7C65">
      <w:pPr>
        <w:pStyle w:val="Notedebasdepage"/>
        <w:tabs>
          <w:tab w:val="left" w:pos="426"/>
        </w:tabs>
        <w:ind w:left="426" w:hanging="426"/>
        <w:jc w:val="both"/>
      </w:pPr>
      <w:r>
        <w:rPr>
          <w:rStyle w:val="Appelnotedebasdep"/>
        </w:rPr>
        <w:footnoteRef/>
      </w:r>
      <w:r>
        <w:t xml:space="preserve"> </w:t>
      </w:r>
      <w:r>
        <w:tab/>
      </w:r>
      <w:r w:rsidRPr="005B7C65">
        <w:rPr>
          <w:sz w:val="20"/>
        </w:rPr>
        <w:t>Voir à ce sujet le Règlement des études reçu et approuvé à l’inscription, disponible en ligne sur le site de l’ICC (</w:t>
      </w:r>
      <w:hyperlink r:id="rId2" w:history="1">
        <w:r w:rsidRPr="005B7C65">
          <w:rPr>
            <w:rStyle w:val="Lienhypertexte"/>
            <w:sz w:val="20"/>
          </w:rPr>
          <w:t>http://www.iccbxl.be</w:t>
        </w:r>
      </w:hyperlink>
      <w:r w:rsidRPr="005B7C65">
        <w:rPr>
          <w:sz w:val="20"/>
        </w:rPr>
        <w:t>).</w:t>
      </w:r>
    </w:p>
  </w:footnote>
  <w:footnote w:id="4">
    <w:p w14:paraId="0693BB03" w14:textId="77777777" w:rsidR="00105A84" w:rsidRPr="00B816B9" w:rsidRDefault="00105A84">
      <w:pPr>
        <w:pStyle w:val="Notedebasdepage"/>
      </w:pPr>
      <w:r>
        <w:rPr>
          <w:rStyle w:val="Appelnotedebasdep"/>
        </w:rPr>
        <w:footnoteRef/>
      </w:r>
      <w:r>
        <w:t xml:space="preserve"> Wikipedia – Le droit objectif, </w:t>
      </w:r>
      <w:hyperlink r:id="rId3" w:anchor="Droit_objectif" w:history="1">
        <w:r w:rsidRPr="00F43903">
          <w:rPr>
            <w:rStyle w:val="Lienhypertexte"/>
          </w:rPr>
          <w:t>http://fr.wikipedia.org/wiki/Droit#Droit_objectif</w:t>
        </w:r>
      </w:hyperlink>
      <w:r>
        <w:t>, 07/07/2013.</w:t>
      </w:r>
    </w:p>
  </w:footnote>
  <w:footnote w:id="5">
    <w:p w14:paraId="0693BB04" w14:textId="77777777" w:rsidR="00105A84" w:rsidRPr="00494541" w:rsidRDefault="00105A84">
      <w:pPr>
        <w:pStyle w:val="Notedebasdepage"/>
      </w:pPr>
      <w:r>
        <w:rPr>
          <w:rStyle w:val="Appelnotedebasdep"/>
        </w:rPr>
        <w:footnoteRef/>
      </w:r>
      <w:r>
        <w:t xml:space="preserve"> Wikipedia – Le droit subjectif, </w:t>
      </w:r>
      <w:hyperlink r:id="rId4" w:anchor="Droit_subjectif" w:history="1">
        <w:r w:rsidRPr="00F43903">
          <w:rPr>
            <w:rStyle w:val="Lienhypertexte"/>
          </w:rPr>
          <w:t>http://fr.wikipedia.org/wiki/Droit#Droit_subjectif</w:t>
        </w:r>
      </w:hyperlink>
      <w:r>
        <w:t>, 07/07/2013.</w:t>
      </w:r>
    </w:p>
  </w:footnote>
  <w:footnote w:id="6">
    <w:p w14:paraId="0693BB05" w14:textId="77777777" w:rsidR="00105A84" w:rsidRPr="00156C44" w:rsidRDefault="00105A84">
      <w:pPr>
        <w:pStyle w:val="Notedebasdepage"/>
      </w:pPr>
      <w:r>
        <w:rPr>
          <w:rStyle w:val="Appelnotedebasdep"/>
        </w:rPr>
        <w:footnoteRef/>
      </w:r>
      <w:r>
        <w:t xml:space="preserve"> </w:t>
      </w:r>
      <w:r w:rsidRPr="00156C44">
        <w:t>Objets qui tiennent à la mâture d’un bâtiment, qui servent à la garnir, tels que vergues, voiles, cordages, etc. ; et, par extension, tout ce qui n’est pas la coque, les mâts, les munitions, les armes : le gréement, le gouvernail, les ancres, les avirons et autres objets de rechange en voiles, cordages, etc.</w:t>
      </w:r>
      <w:r>
        <w:t xml:space="preserve"> – Wikidictionnaire.</w:t>
      </w:r>
    </w:p>
  </w:footnote>
  <w:footnote w:id="7">
    <w:p w14:paraId="0693BB06" w14:textId="77777777" w:rsidR="00105A84" w:rsidRPr="00156C44" w:rsidRDefault="00105A84">
      <w:pPr>
        <w:pStyle w:val="Notedebasdepage"/>
      </w:pPr>
      <w:r>
        <w:rPr>
          <w:rStyle w:val="Appelnotedebasdep"/>
        </w:rPr>
        <w:footnoteRef/>
      </w:r>
      <w:r>
        <w:t xml:space="preserve"> </w:t>
      </w:r>
      <w:r w:rsidRPr="00156C44">
        <w:t>Matériel dont le navire est équipé afin d'effectuer des opérations de manutention et autres manoeuvres de pêche, de remorquage, de mouillage, etc</w:t>
      </w:r>
      <w:r>
        <w:t>. – L’internaute.</w:t>
      </w:r>
    </w:p>
  </w:footnote>
  <w:footnote w:id="8">
    <w:p w14:paraId="0693BB07" w14:textId="77777777" w:rsidR="00105A84" w:rsidRPr="00156C44" w:rsidRDefault="00105A84">
      <w:pPr>
        <w:pStyle w:val="Notedebasdepage"/>
      </w:pPr>
      <w:r>
        <w:rPr>
          <w:rStyle w:val="Appelnotedebasdep"/>
        </w:rPr>
        <w:footnoteRef/>
      </w:r>
      <w:r>
        <w:t xml:space="preserve"> </w:t>
      </w:r>
      <w:r w:rsidRPr="00156C44">
        <w:t xml:space="preserve">L'avitaillement est la procédure consistant à préparer et fournir des vivres, eau, glace, carburant, comburant ou matériel divers à ; </w:t>
      </w:r>
      <w:r w:rsidRPr="00156C44">
        <w:rPr>
          <w:rFonts w:ascii="Segoe UI Symbol" w:hAnsi="Segoe UI Symbol" w:cs="Segoe UI Symbol"/>
        </w:rPr>
        <w:t>⁕</w:t>
      </w:r>
      <w:r w:rsidRPr="00156C44">
        <w:t xml:space="preserve">un tiers qui peut </w:t>
      </w:r>
      <w:r w:rsidRPr="00156C44">
        <w:rPr>
          <w:rFonts w:cs="Trebuchet MS"/>
        </w:rPr>
        <w:t>ê</w:t>
      </w:r>
      <w:r w:rsidRPr="00156C44">
        <w:t xml:space="preserve">tre une personne ou un groupe de personnes ; </w:t>
      </w:r>
      <w:r w:rsidRPr="00156C44">
        <w:rPr>
          <w:rFonts w:ascii="Segoe UI Symbol" w:hAnsi="Segoe UI Symbol" w:cs="Segoe UI Symbol"/>
        </w:rPr>
        <w:t>⁕</w:t>
      </w:r>
      <w:r w:rsidRPr="00156C44">
        <w:t>un lieu de vie et de travail isol</w:t>
      </w:r>
      <w:r w:rsidRPr="00156C44">
        <w:rPr>
          <w:rFonts w:cs="Trebuchet MS"/>
        </w:rPr>
        <w:t>é</w:t>
      </w:r>
      <w:r w:rsidRPr="00156C44">
        <w:t xml:space="preserve"> ; </w:t>
      </w:r>
      <w:r w:rsidRPr="00156C44">
        <w:rPr>
          <w:rFonts w:ascii="Segoe UI Symbol" w:hAnsi="Segoe UI Symbol" w:cs="Segoe UI Symbol"/>
        </w:rPr>
        <w:t>⁕</w:t>
      </w:r>
      <w:r w:rsidRPr="00156C44">
        <w:t>aux responsables ou techniciens charg</w:t>
      </w:r>
      <w:r w:rsidRPr="00156C44">
        <w:rPr>
          <w:rFonts w:cs="Trebuchet MS"/>
        </w:rPr>
        <w:t>é</w:t>
      </w:r>
      <w:r>
        <w:t>s du fonctionnement. – Dictionnaire Google.</w:t>
      </w:r>
    </w:p>
  </w:footnote>
  <w:footnote w:id="9">
    <w:p w14:paraId="0693BB08" w14:textId="77777777" w:rsidR="00105A84" w:rsidRPr="003F0885" w:rsidRDefault="00105A84">
      <w:pPr>
        <w:pStyle w:val="Notedebasdepage"/>
      </w:pPr>
      <w:r>
        <w:rPr>
          <w:rStyle w:val="Appelnotedebasdep"/>
        </w:rPr>
        <w:footnoteRef/>
      </w:r>
      <w:r>
        <w:t xml:space="preserve"> </w:t>
      </w:r>
      <w:r w:rsidRPr="003F0885">
        <w:t>L'affrètement est la location d'un navire selon un contrat d'affrètement passé entre le fréteur et l'affréteur.</w:t>
      </w:r>
      <w:r>
        <w:t xml:space="preserve"> – Dictionnaire Google.</w:t>
      </w:r>
    </w:p>
  </w:footnote>
  <w:footnote w:id="10">
    <w:p w14:paraId="0693BB09" w14:textId="77777777" w:rsidR="00105A84" w:rsidRPr="003F0885" w:rsidRDefault="00105A84">
      <w:pPr>
        <w:pStyle w:val="Notedebasdepage"/>
      </w:pPr>
      <w:r>
        <w:rPr>
          <w:rStyle w:val="Appelnotedebasdep"/>
        </w:rPr>
        <w:footnoteRef/>
      </w:r>
      <w:r>
        <w:t xml:space="preserve"> Synonyme de affrètement.</w:t>
      </w:r>
    </w:p>
  </w:footnote>
  <w:footnote w:id="11">
    <w:p w14:paraId="0693BB0A" w14:textId="77777777" w:rsidR="00105A84" w:rsidRPr="003F0885" w:rsidRDefault="00105A84">
      <w:pPr>
        <w:pStyle w:val="Notedebasdepage"/>
      </w:pPr>
      <w:r>
        <w:rPr>
          <w:rStyle w:val="Appelnotedebasdep"/>
        </w:rPr>
        <w:footnoteRef/>
      </w:r>
      <w:r>
        <w:t xml:space="preserve"> Encyclopédie Wikipédia, </w:t>
      </w:r>
      <w:hyperlink r:id="rId5" w:history="1">
        <w:r w:rsidRPr="001F7B4A">
          <w:rPr>
            <w:rStyle w:val="Lienhypertexte"/>
          </w:rPr>
          <w:t>http://goo.gl/NFJhVb</w:t>
        </w:r>
      </w:hyperlink>
      <w:r>
        <w:t>, consulté la dernière fois le 22/04/2014.</w:t>
      </w:r>
    </w:p>
  </w:footnote>
  <w:footnote w:id="12">
    <w:p w14:paraId="0693BB0B" w14:textId="77777777" w:rsidR="00105A84" w:rsidRDefault="00105A84" w:rsidP="00CD340A">
      <w:pPr>
        <w:tabs>
          <w:tab w:val="left" w:pos="397"/>
        </w:tabs>
        <w:ind w:left="397" w:hanging="397"/>
        <w:jc w:val="both"/>
        <w:rPr>
          <w:snapToGrid w:val="0"/>
        </w:rPr>
      </w:pPr>
      <w:r>
        <w:rPr>
          <w:snapToGrid w:val="0"/>
          <w:sz w:val="16"/>
        </w:rPr>
        <w:footnoteRef/>
      </w:r>
      <w:r>
        <w:rPr>
          <w:snapToGrid w:val="0"/>
        </w:rPr>
        <w:tab/>
      </w:r>
      <w:r w:rsidRPr="000E5D90">
        <w:rPr>
          <w:snapToGrid w:val="0"/>
        </w:rPr>
        <w:t xml:space="preserve">À ne pas confondre avec l’équation de </w:t>
      </w:r>
      <w:hyperlink r:id="rId6" w:history="1">
        <w:r w:rsidRPr="00A54B33">
          <w:rPr>
            <w:rStyle w:val="Lienhypertexte"/>
            <w:snapToGrid w:val="0"/>
          </w:rPr>
          <w:t>FISHER</w:t>
        </w:r>
      </w:hyperlink>
      <w:r w:rsidRPr="000E5D90">
        <w:rPr>
          <w:snapToGrid w:val="0"/>
        </w:rPr>
        <w:t xml:space="preserve"> : </w:t>
      </w:r>
      <w:r w:rsidRPr="000E5D90">
        <w:rPr>
          <w:b/>
          <w:snapToGrid w:val="0"/>
        </w:rPr>
        <w:t>M * V = P * T</w:t>
      </w:r>
      <w:r w:rsidRPr="000E5D90">
        <w:rPr>
          <w:snapToGrid w:val="0"/>
        </w:rPr>
        <w:t xml:space="preserve">, où </w:t>
      </w:r>
      <w:r w:rsidRPr="000E5D90">
        <w:rPr>
          <w:b/>
          <w:snapToGrid w:val="0"/>
        </w:rPr>
        <w:t xml:space="preserve">M </w:t>
      </w:r>
      <w:r w:rsidRPr="000E5D90">
        <w:rPr>
          <w:snapToGrid w:val="0"/>
        </w:rPr>
        <w:t xml:space="preserve">est la masse monétaire en circulation, </w:t>
      </w:r>
      <w:r w:rsidRPr="000E5D90">
        <w:rPr>
          <w:b/>
          <w:snapToGrid w:val="0"/>
        </w:rPr>
        <w:t xml:space="preserve">V </w:t>
      </w:r>
      <w:r w:rsidRPr="000E5D90">
        <w:rPr>
          <w:snapToGrid w:val="0"/>
        </w:rPr>
        <w:t xml:space="preserve">la vitesse de circulation de cette masse monétaire, </w:t>
      </w:r>
      <w:r w:rsidRPr="000E5D90">
        <w:rPr>
          <w:b/>
          <w:snapToGrid w:val="0"/>
        </w:rPr>
        <w:t xml:space="preserve">P </w:t>
      </w:r>
      <w:r w:rsidRPr="000E5D90">
        <w:rPr>
          <w:snapToGrid w:val="0"/>
        </w:rPr>
        <w:t xml:space="preserve">le niveau général des prix, et </w:t>
      </w:r>
      <w:r w:rsidRPr="000E5D90">
        <w:rPr>
          <w:b/>
          <w:snapToGrid w:val="0"/>
        </w:rPr>
        <w:t xml:space="preserve">T </w:t>
      </w:r>
      <w:r w:rsidRPr="000E5D90">
        <w:rPr>
          <w:snapToGrid w:val="0"/>
        </w:rPr>
        <w:t>le niveau des transactions.</w:t>
      </w:r>
    </w:p>
  </w:footnote>
  <w:footnote w:id="13">
    <w:p w14:paraId="0693BB0C" w14:textId="77777777" w:rsidR="00105A84" w:rsidRDefault="00105A84" w:rsidP="00CD340A">
      <w:pPr>
        <w:tabs>
          <w:tab w:val="left" w:pos="397"/>
        </w:tabs>
        <w:ind w:left="397" w:hanging="397"/>
        <w:jc w:val="both"/>
        <w:rPr>
          <w:snapToGrid w:val="0"/>
        </w:rPr>
      </w:pPr>
      <w:r>
        <w:rPr>
          <w:snapToGrid w:val="0"/>
          <w:sz w:val="16"/>
        </w:rPr>
        <w:footnoteRef/>
      </w:r>
      <w:r>
        <w:rPr>
          <w:snapToGrid w:val="0"/>
        </w:rPr>
        <w:tab/>
      </w:r>
      <w:r w:rsidRPr="000E5D90">
        <w:rPr>
          <w:snapToGrid w:val="0"/>
        </w:rPr>
        <w:t xml:space="preserve">Également appelé </w:t>
      </w:r>
      <w:hyperlink r:id="rId7" w:history="1">
        <w:r w:rsidRPr="00DD3E93">
          <w:rPr>
            <w:rStyle w:val="Lienhypertexte"/>
            <w:b/>
            <w:snapToGrid w:val="0"/>
          </w:rPr>
          <w:t>Solde Extérieur</w:t>
        </w:r>
      </w:hyperlink>
      <w:r w:rsidRPr="000E5D90">
        <w:rPr>
          <w:snapToGrid w:val="0"/>
        </w:rPr>
        <w:t>.</w:t>
      </w:r>
    </w:p>
  </w:footnote>
  <w:footnote w:id="14">
    <w:p w14:paraId="0693BB0D" w14:textId="77777777" w:rsidR="00105A84" w:rsidRDefault="00105A84" w:rsidP="00CD340A">
      <w:pPr>
        <w:tabs>
          <w:tab w:val="left" w:pos="397"/>
        </w:tabs>
        <w:ind w:left="397" w:hanging="397"/>
        <w:jc w:val="both"/>
        <w:rPr>
          <w:snapToGrid w:val="0"/>
        </w:rPr>
      </w:pPr>
      <w:r>
        <w:rPr>
          <w:snapToGrid w:val="0"/>
          <w:sz w:val="16"/>
        </w:rPr>
        <w:footnoteRef/>
      </w:r>
      <w:r>
        <w:rPr>
          <w:snapToGrid w:val="0"/>
        </w:rPr>
        <w:tab/>
      </w:r>
      <w:r w:rsidRPr="000E5D90">
        <w:rPr>
          <w:snapToGrid w:val="0"/>
        </w:rPr>
        <w:t>En effet, tout comme il existe différents prix pour une pomme, selon sa catégorie, il existe différents catégories pour une même devise : au comptant, à terme à un mois, deux mois, etc.</w:t>
      </w:r>
    </w:p>
  </w:footnote>
  <w:footnote w:id="15">
    <w:p w14:paraId="0693BB0E" w14:textId="77777777" w:rsidR="00105A84" w:rsidRDefault="00105A84" w:rsidP="00CD340A">
      <w:pPr>
        <w:tabs>
          <w:tab w:val="left" w:pos="397"/>
        </w:tabs>
        <w:ind w:left="397" w:hanging="397"/>
        <w:jc w:val="both"/>
        <w:rPr>
          <w:snapToGrid w:val="0"/>
        </w:rPr>
      </w:pPr>
      <w:r>
        <w:rPr>
          <w:snapToGrid w:val="0"/>
          <w:sz w:val="16"/>
        </w:rPr>
        <w:footnoteRef/>
      </w:r>
      <w:r>
        <w:rPr>
          <w:snapToGrid w:val="0"/>
        </w:rPr>
        <w:t xml:space="preserve"> </w:t>
      </w:r>
      <w:r>
        <w:rPr>
          <w:snapToGrid w:val="0"/>
        </w:rPr>
        <w:tab/>
      </w:r>
      <w:r w:rsidRPr="000E5D90">
        <w:rPr>
          <w:snapToGrid w:val="0"/>
        </w:rPr>
        <w:t xml:space="preserve">Cf. Jacques Attali dans </w:t>
      </w:r>
      <w:r w:rsidRPr="000E5D90">
        <w:rPr>
          <w:b/>
          <w:snapToGrid w:val="0"/>
        </w:rPr>
        <w:t>Sous le règne de l’incertitude – Jacques Attali et Ilya Prigogine face à l’émergence d’une science qui nous confronte à la complexité croissante du monde réel</w:t>
      </w:r>
      <w:r w:rsidRPr="000E5D90">
        <w:rPr>
          <w:snapToGrid w:val="0"/>
        </w:rPr>
        <w:t>, Solvay Business Journal n° 25, 25/04/99 – 25/06/99, p. 6</w:t>
      </w:r>
    </w:p>
  </w:footnote>
  <w:footnote w:id="16">
    <w:p w14:paraId="0693BB0F" w14:textId="77777777" w:rsidR="00105A84" w:rsidRPr="00D94700" w:rsidRDefault="00105A84" w:rsidP="00A53617">
      <w:pPr>
        <w:tabs>
          <w:tab w:val="left" w:pos="397"/>
        </w:tabs>
        <w:ind w:left="397" w:hanging="397"/>
        <w:jc w:val="both"/>
        <w:rPr>
          <w:snapToGrid w:val="0"/>
        </w:rPr>
      </w:pPr>
      <w:r>
        <w:rPr>
          <w:snapToGrid w:val="0"/>
          <w:sz w:val="16"/>
        </w:rPr>
        <w:footnoteRef/>
      </w:r>
      <w:r>
        <w:rPr>
          <w:snapToGrid w:val="0"/>
        </w:rPr>
        <w:tab/>
      </w:r>
      <w:r w:rsidRPr="00D94700">
        <w:rPr>
          <w:snapToGrid w:val="0"/>
        </w:rPr>
        <w:t>Pour rappel, il s’agit de la différence entre le taux moyen des crédits et le taux moyen des dépôts.</w:t>
      </w:r>
    </w:p>
  </w:footnote>
  <w:footnote w:id="17">
    <w:p w14:paraId="0693BB10" w14:textId="77777777" w:rsidR="00105A84" w:rsidRPr="00D94700" w:rsidRDefault="00105A84" w:rsidP="00A53617">
      <w:pPr>
        <w:tabs>
          <w:tab w:val="left" w:pos="397"/>
        </w:tabs>
        <w:ind w:left="397" w:hanging="397"/>
        <w:jc w:val="both"/>
        <w:rPr>
          <w:snapToGrid w:val="0"/>
        </w:rPr>
      </w:pPr>
      <w:r>
        <w:rPr>
          <w:snapToGrid w:val="0"/>
          <w:sz w:val="16"/>
        </w:rPr>
        <w:footnoteRef/>
      </w:r>
      <w:r>
        <w:rPr>
          <w:snapToGrid w:val="0"/>
        </w:rPr>
        <w:tab/>
      </w:r>
      <w:r w:rsidRPr="00D94700">
        <w:rPr>
          <w:snapToGrid w:val="0"/>
        </w:rPr>
        <w:t xml:space="preserve">Il existe aussi le </w:t>
      </w:r>
      <w:r w:rsidRPr="00D94700">
        <w:rPr>
          <w:b/>
          <w:snapToGrid w:val="0"/>
        </w:rPr>
        <w:t>Comité TIC</w:t>
      </w:r>
      <w:r w:rsidRPr="00D94700">
        <w:rPr>
          <w:snapToGrid w:val="0"/>
        </w:rPr>
        <w:t xml:space="preserve"> (qui fixe les taux d’intérêt créditeurs) et le </w:t>
      </w:r>
      <w:r w:rsidRPr="00D94700">
        <w:rPr>
          <w:b/>
          <w:snapToGrid w:val="0"/>
        </w:rPr>
        <w:t>Comité TID</w:t>
      </w:r>
      <w:r w:rsidRPr="00D94700">
        <w:rPr>
          <w:snapToGrid w:val="0"/>
        </w:rPr>
        <w:t xml:space="preserve"> (qui fixe les taux d’intérêt débiteurs).</w:t>
      </w:r>
    </w:p>
  </w:footnote>
  <w:footnote w:id="18">
    <w:p w14:paraId="0693BB11" w14:textId="77777777" w:rsidR="00105A84" w:rsidRPr="00D94700" w:rsidRDefault="00105A84" w:rsidP="00A53617">
      <w:pPr>
        <w:tabs>
          <w:tab w:val="left" w:pos="397"/>
        </w:tabs>
        <w:ind w:left="397" w:hanging="397"/>
        <w:jc w:val="both"/>
        <w:rPr>
          <w:snapToGrid w:val="0"/>
        </w:rPr>
      </w:pPr>
      <w:r>
        <w:rPr>
          <w:snapToGrid w:val="0"/>
          <w:sz w:val="16"/>
        </w:rPr>
        <w:footnoteRef/>
      </w:r>
      <w:r>
        <w:rPr>
          <w:snapToGrid w:val="0"/>
        </w:rPr>
        <w:tab/>
      </w:r>
      <w:r w:rsidRPr="00D94700">
        <w:rPr>
          <w:snapToGrid w:val="0"/>
        </w:rPr>
        <w:t xml:space="preserve">Une manière rapide de le calculer consiste à multiplier le chiffre d’affaire annuel par la différence, exprimée en fraction d’année, entre le délai de paiement offert au client et le délai de paiement imposé par les fournisseurs. Si, par exemple, l’entreprise paye ses fournisseurs après deux mois et qu’elle consent un délai de trois mois à ses clients, il en résulte un besoin temporel en fonds de roulement d’un mois. C’est-à-dire, en fraction d’année, un douzième d’année. Si nous supposons le chiffre d’affaire annuel de l’entreprise à par exemple 12 millions, le </w:t>
      </w:r>
      <w:hyperlink r:id="rId8" w:history="1">
        <w:r w:rsidRPr="00AA42A4">
          <w:rPr>
            <w:rStyle w:val="Lienhypertexte"/>
            <w:b/>
            <w:snapToGrid w:val="0"/>
          </w:rPr>
          <w:t>besoin en fonds de roulement</w:t>
        </w:r>
      </w:hyperlink>
      <w:r w:rsidRPr="00D94700">
        <w:rPr>
          <w:snapToGrid w:val="0"/>
        </w:rPr>
        <w:t xml:space="preserve"> sera de 1 million.</w:t>
      </w:r>
    </w:p>
    <w:p w14:paraId="0693BB12" w14:textId="77777777" w:rsidR="00105A84" w:rsidRPr="00D94700" w:rsidRDefault="00105A84" w:rsidP="00A53617">
      <w:pPr>
        <w:tabs>
          <w:tab w:val="left" w:pos="397"/>
        </w:tabs>
        <w:ind w:left="397" w:hanging="397"/>
        <w:jc w:val="both"/>
        <w:rPr>
          <w:snapToGrid w:val="0"/>
        </w:rPr>
      </w:pPr>
      <w:r w:rsidRPr="00D94700">
        <w:rPr>
          <w:i/>
          <w:snapToGrid w:val="0"/>
        </w:rPr>
        <w:tab/>
        <w:t>À ne pas confondre</w:t>
      </w:r>
      <w:r w:rsidRPr="00D94700">
        <w:rPr>
          <w:snapToGrid w:val="0"/>
        </w:rPr>
        <w:t xml:space="preserve"> avec le </w:t>
      </w:r>
      <w:hyperlink r:id="rId9" w:history="1">
        <w:r w:rsidRPr="00AA42A4">
          <w:rPr>
            <w:rStyle w:val="Lienhypertexte"/>
            <w:b/>
            <w:snapToGrid w:val="0"/>
          </w:rPr>
          <w:t>fonds de roulement</w:t>
        </w:r>
      </w:hyperlink>
      <w:r w:rsidRPr="00D94700">
        <w:rPr>
          <w:snapToGrid w:val="0"/>
        </w:rPr>
        <w:t>, qui est la différence entre les actifs circulants et les dettes à court terme (définition complémentaire : les fonds propres diminués des actifs fixes).</w:t>
      </w:r>
    </w:p>
    <w:p w14:paraId="0693BB13" w14:textId="77777777" w:rsidR="00105A84" w:rsidRPr="00D94700" w:rsidRDefault="00105A84" w:rsidP="00A53617">
      <w:pPr>
        <w:tabs>
          <w:tab w:val="left" w:pos="397"/>
        </w:tabs>
        <w:ind w:left="397" w:hanging="397"/>
        <w:jc w:val="both"/>
        <w:rPr>
          <w:snapToGrid w:val="0"/>
        </w:rPr>
      </w:pPr>
      <w:r w:rsidRPr="00D94700">
        <w:rPr>
          <w:snapToGrid w:val="0"/>
        </w:rPr>
        <w:tab/>
        <w:t xml:space="preserve">Pour rappel, la </w:t>
      </w:r>
      <w:r w:rsidRPr="00D94700">
        <w:rPr>
          <w:b/>
          <w:snapToGrid w:val="0"/>
        </w:rPr>
        <w:t>trésorerie</w:t>
      </w:r>
      <w:r w:rsidRPr="00D94700">
        <w:rPr>
          <w:snapToGrid w:val="0"/>
        </w:rPr>
        <w:t xml:space="preserve"> de l’entreprise est la différence entre son fonds de roulement et son besoin en fonds de roulement.</w:t>
      </w:r>
    </w:p>
  </w:footnote>
  <w:footnote w:id="19">
    <w:p w14:paraId="0693BB14" w14:textId="77777777" w:rsidR="00105A84" w:rsidRPr="00D3604D" w:rsidRDefault="00105A84" w:rsidP="00D3604D">
      <w:pPr>
        <w:pStyle w:val="Notedebasdepage"/>
        <w:tabs>
          <w:tab w:val="left" w:pos="284"/>
        </w:tabs>
        <w:ind w:left="284" w:hanging="284"/>
        <w:rPr>
          <w:sz w:val="20"/>
        </w:rPr>
      </w:pPr>
      <w:r>
        <w:rPr>
          <w:rStyle w:val="Appelnotedebasdep"/>
        </w:rPr>
        <w:footnoteRef/>
      </w:r>
      <w:r>
        <w:t xml:space="preserve"> </w:t>
      </w:r>
      <w:r>
        <w:tab/>
      </w:r>
      <w:r>
        <w:rPr>
          <w:sz w:val="20"/>
        </w:rPr>
        <w:t>Depuis le 01/12/2</w:t>
      </w:r>
      <w:r w:rsidRPr="00D3604D">
        <w:rPr>
          <w:sz w:val="20"/>
        </w:rPr>
        <w:t>010, car anciennement, c’était une fois par trimestre : cf. Metro du 17/11/2010, “ Découvert bancaire limité à un mois ”. Voir également le site de Febelfin.</w:t>
      </w:r>
    </w:p>
  </w:footnote>
  <w:footnote w:id="20">
    <w:p w14:paraId="0693BB15" w14:textId="77777777" w:rsidR="00105A84" w:rsidRPr="00D3604D" w:rsidRDefault="00105A84" w:rsidP="00D3604D">
      <w:pPr>
        <w:pStyle w:val="Notedebasdepage"/>
        <w:tabs>
          <w:tab w:val="left" w:pos="426"/>
        </w:tabs>
        <w:ind w:left="426" w:hanging="426"/>
        <w:rPr>
          <w:sz w:val="20"/>
        </w:rPr>
      </w:pPr>
      <w:r>
        <w:rPr>
          <w:rStyle w:val="Appelnotedebasdep"/>
        </w:rPr>
        <w:footnoteRef/>
      </w:r>
      <w:r>
        <w:t xml:space="preserve"> </w:t>
      </w:r>
      <w:r>
        <w:tab/>
      </w:r>
      <w:r w:rsidRPr="00D3604D">
        <w:rPr>
          <w:sz w:val="20"/>
        </w:rPr>
        <w:t>Il existe également le crédit au logement inversé, qui utilise le principe de la rente viagère tout en conservant le droit de propriété sur le bien hypothéqué. L’opération se fait via la banque, qui octroie la ligne de crédit ou la rente, selon la formule retenue. Ce type de produit n’est pas encore offert en Belgique (17/12/2007).</w:t>
      </w:r>
    </w:p>
  </w:footnote>
  <w:footnote w:id="21">
    <w:p w14:paraId="0693BB16" w14:textId="77777777" w:rsidR="00105A84" w:rsidRPr="00D3604D" w:rsidRDefault="00105A84" w:rsidP="00D3604D">
      <w:pPr>
        <w:pStyle w:val="Notedebasdepage"/>
        <w:tabs>
          <w:tab w:val="left" w:pos="426"/>
        </w:tabs>
        <w:ind w:left="426" w:hanging="426"/>
        <w:rPr>
          <w:sz w:val="20"/>
        </w:rPr>
      </w:pPr>
      <w:r w:rsidRPr="004A2219">
        <w:rPr>
          <w:rStyle w:val="Appelnotedebasdep"/>
        </w:rPr>
        <w:footnoteRef/>
      </w:r>
      <w:r w:rsidRPr="004A2219">
        <w:t xml:space="preserve"> </w:t>
      </w:r>
      <w:r w:rsidRPr="00D3604D">
        <w:rPr>
          <w:sz w:val="20"/>
        </w:rPr>
        <w:tab/>
        <w:t>Dix ans minimum, sinon la déductibilité fiscale n’est pas possible.</w:t>
      </w:r>
    </w:p>
  </w:footnote>
  <w:footnote w:id="22">
    <w:p w14:paraId="0693BB17" w14:textId="77777777" w:rsidR="00105A84" w:rsidRPr="00D3604D" w:rsidRDefault="00105A84" w:rsidP="00D3604D">
      <w:pPr>
        <w:pStyle w:val="Notedebasdepage"/>
        <w:tabs>
          <w:tab w:val="left" w:pos="426"/>
        </w:tabs>
        <w:ind w:left="426" w:hanging="426"/>
        <w:rPr>
          <w:sz w:val="20"/>
        </w:rPr>
      </w:pPr>
      <w:r>
        <w:rPr>
          <w:rStyle w:val="Appelnotedebasdep"/>
        </w:rPr>
        <w:footnoteRef/>
      </w:r>
      <w:r>
        <w:t xml:space="preserve"> </w:t>
      </w:r>
      <w:r>
        <w:tab/>
      </w:r>
      <w:r w:rsidRPr="00D3604D">
        <w:rPr>
          <w:sz w:val="20"/>
        </w:rPr>
        <w:t>Un effet de commerce peut être le billet à ordre ou promesse (« promissory note »), la lettre de change ou traite commerciale (« bill of exchange » ou « trade bill »), le warrant-cédule.</w:t>
      </w:r>
    </w:p>
  </w:footnote>
  <w:footnote w:id="23">
    <w:p w14:paraId="0693BB18" w14:textId="77777777" w:rsidR="00105A84" w:rsidRDefault="00105A84" w:rsidP="005B7C65">
      <w:pPr>
        <w:pStyle w:val="Notedebasdepage"/>
        <w:tabs>
          <w:tab w:val="left" w:pos="426"/>
        </w:tabs>
        <w:ind w:left="426" w:hanging="426"/>
      </w:pPr>
      <w:r>
        <w:rPr>
          <w:rStyle w:val="Appelnotedebasdep"/>
        </w:rPr>
        <w:footnoteRef/>
      </w:r>
      <w:r w:rsidRPr="005B7C65">
        <w:rPr>
          <w:sz w:val="20"/>
        </w:rPr>
        <w:t xml:space="preserve"> </w:t>
      </w:r>
      <w:r>
        <w:rPr>
          <w:sz w:val="20"/>
        </w:rPr>
        <w:tab/>
      </w:r>
      <w:r w:rsidRPr="005B7C65">
        <w:rPr>
          <w:sz w:val="20"/>
        </w:rPr>
        <w:t>Le libellé a d'abord été conçu pour lancer des projets dans des pays en voie de développement.</w:t>
      </w:r>
    </w:p>
  </w:footnote>
  <w:footnote w:id="24">
    <w:p w14:paraId="0693BB19" w14:textId="77777777" w:rsidR="00105A84" w:rsidRDefault="00105A84" w:rsidP="005B7C65">
      <w:pPr>
        <w:pStyle w:val="Notedebasdepage"/>
        <w:tabs>
          <w:tab w:val="left" w:pos="426"/>
        </w:tabs>
        <w:ind w:left="426" w:hanging="426"/>
      </w:pPr>
      <w:r>
        <w:rPr>
          <w:rStyle w:val="Appelnotedebasdep"/>
        </w:rPr>
        <w:footnoteRef/>
      </w:r>
      <w:r w:rsidRPr="005B7C65">
        <w:rPr>
          <w:sz w:val="20"/>
        </w:rPr>
        <w:t xml:space="preserve"> </w:t>
      </w:r>
      <w:r>
        <w:rPr>
          <w:sz w:val="20"/>
        </w:rPr>
        <w:tab/>
      </w:r>
      <w:r w:rsidRPr="005B7C65">
        <w:rPr>
          <w:sz w:val="20"/>
        </w:rPr>
        <w:t>Pour des entreprises de moins de 10 personnes et qui ont un chiffre d'affaires ou un total de bilan de 2 millions maximum.</w:t>
      </w:r>
    </w:p>
  </w:footnote>
  <w:footnote w:id="25">
    <w:p w14:paraId="0693BB1A" w14:textId="77777777" w:rsidR="00105A84" w:rsidRPr="00892575" w:rsidRDefault="00105A84" w:rsidP="00E642CB">
      <w:pPr>
        <w:pStyle w:val="Notedebasdepage"/>
      </w:pPr>
      <w:r>
        <w:rPr>
          <w:rStyle w:val="Appelnotedebasdep"/>
        </w:rPr>
        <w:footnoteRef/>
      </w:r>
      <w:r>
        <w:t xml:space="preserve"> </w:t>
      </w:r>
      <w:r>
        <w:tab/>
        <w:t xml:space="preserve">Source du texte ci-après : Interex, </w:t>
      </w:r>
      <w:r w:rsidRPr="00892575">
        <w:t>http://tinyurl.com/2j2ann</w:t>
      </w:r>
      <w:r>
        <w:t>, consulté le 20/03/2008.</w:t>
      </w:r>
    </w:p>
  </w:footnote>
  <w:footnote w:id="26">
    <w:p w14:paraId="0693BB1B" w14:textId="7FDD08FF" w:rsidR="00105A84" w:rsidRDefault="00105A84" w:rsidP="00446806">
      <w:pPr>
        <w:pStyle w:val="Notedebasdepage"/>
      </w:pPr>
      <w:r>
        <w:rPr>
          <w:rStyle w:val="Appelnotedebasdep"/>
        </w:rPr>
        <w:footnoteRef/>
      </w:r>
      <w:r>
        <w:t xml:space="preserve"> Encyclopédie Wikipedia, </w:t>
      </w:r>
      <w:hyperlink r:id="rId10" w:history="1">
        <w:r w:rsidRPr="00F94B81">
          <w:rPr>
            <w:rStyle w:val="Lienhypertexte"/>
          </w:rPr>
          <w:t>http://fr.wikipedia.org/wiki/Crowdfunding</w:t>
        </w:r>
      </w:hyperlink>
      <w:r>
        <w:t>, consulté la dernière fois le 14/12/2012.</w:t>
      </w:r>
    </w:p>
  </w:footnote>
  <w:footnote w:id="27">
    <w:p w14:paraId="7C2D9216" w14:textId="6D289803" w:rsidR="00105A84" w:rsidRPr="0044361C" w:rsidRDefault="00105A84">
      <w:pPr>
        <w:pStyle w:val="Notedebasdepage"/>
      </w:pPr>
      <w:r>
        <w:rPr>
          <w:rStyle w:val="Appelnotedebasdep"/>
        </w:rPr>
        <w:footnoteRef/>
      </w:r>
      <w:r>
        <w:t xml:space="preserve"> </w:t>
      </w:r>
      <w:hyperlink r:id="rId11" w:history="1">
        <w:r w:rsidRPr="00F94B81">
          <w:rPr>
            <w:rStyle w:val="Lienhypertexte"/>
            <w:snapToGrid w:val="0"/>
          </w:rPr>
          <w:t>http://www.mymicroinvest.be/</w:t>
        </w:r>
      </w:hyperlink>
      <w:r>
        <w:rPr>
          <w:snapToGrid w:val="0"/>
        </w:rPr>
        <w:t xml:space="preserve">, </w:t>
      </w:r>
      <w:hyperlink r:id="rId12" w:history="1">
        <w:r w:rsidRPr="002A368B">
          <w:rPr>
            <w:rStyle w:val="Lienhypertexte"/>
            <w:snapToGrid w:val="0"/>
          </w:rPr>
          <w:t>https://www.indiegogo.com</w:t>
        </w:r>
      </w:hyperlink>
      <w:r>
        <w:rPr>
          <w:snapToGrid w:val="0"/>
        </w:rPr>
        <w:t xml:space="preserve">, </w:t>
      </w:r>
      <w:hyperlink r:id="rId13" w:history="1">
        <w:r w:rsidRPr="002A368B">
          <w:rPr>
            <w:rStyle w:val="Lienhypertexte"/>
            <w:snapToGrid w:val="0"/>
          </w:rPr>
          <w:t>https://www.kickstarter.com/</w:t>
        </w:r>
      </w:hyperlink>
      <w:r>
        <w:rPr>
          <w:snapToGrid w:val="0"/>
        </w:rPr>
        <w:t xml:space="preserve">, et </w:t>
      </w:r>
      <w:hyperlink r:id="rId14" w:history="1">
        <w:r w:rsidRPr="002A368B">
          <w:rPr>
            <w:rStyle w:val="Lienhypertexte"/>
            <w:snapToGrid w:val="0"/>
          </w:rPr>
          <w:t>http://www.kisskissbankbank.com/</w:t>
        </w:r>
      </w:hyperlink>
      <w:r>
        <w:rPr>
          <w:snapToGrid w:val="0"/>
        </w:rPr>
        <w:t>, respectivement.</w:t>
      </w:r>
    </w:p>
  </w:footnote>
  <w:footnote w:id="28">
    <w:p w14:paraId="0693BB1C" w14:textId="77777777" w:rsidR="00105A84" w:rsidRPr="00A74123" w:rsidRDefault="00105A84">
      <w:pPr>
        <w:pStyle w:val="Notedebasdepage"/>
      </w:pPr>
      <w:r>
        <w:rPr>
          <w:rStyle w:val="Appelnotedebasdep"/>
        </w:rPr>
        <w:footnoteRef/>
      </w:r>
      <w:r>
        <w:t xml:space="preserve"> Si l’un des produits de l’offre conjointe est financier, cette offre est, en principe, encore interdite.</w:t>
      </w:r>
    </w:p>
  </w:footnote>
  <w:footnote w:id="29">
    <w:p w14:paraId="0693BB1D" w14:textId="77777777" w:rsidR="00105A84" w:rsidRPr="00AB69F5" w:rsidRDefault="00105A84">
      <w:pPr>
        <w:pStyle w:val="Notedebasdepage"/>
      </w:pPr>
      <w:r>
        <w:rPr>
          <w:rStyle w:val="Appelnotedebasdep"/>
        </w:rPr>
        <w:footnoteRef/>
      </w:r>
      <w:r>
        <w:t xml:space="preserve"> SPF Economie – Offres conjointes, </w:t>
      </w:r>
      <w:hyperlink r:id="rId15" w:history="1">
        <w:r w:rsidRPr="00B845E2">
          <w:rPr>
            <w:rStyle w:val="Lienhypertexte"/>
          </w:rPr>
          <w:t>http://goo.gl/pbPpp</w:t>
        </w:r>
      </w:hyperlink>
      <w:r>
        <w:t>, consulté la dernière fois le 19/05/2013.</w:t>
      </w:r>
    </w:p>
  </w:footnote>
  <w:footnote w:id="30">
    <w:p w14:paraId="0693BB1E" w14:textId="77777777" w:rsidR="00105A84" w:rsidRPr="00FF4F3C" w:rsidRDefault="00105A84" w:rsidP="00AD495C">
      <w:pPr>
        <w:pStyle w:val="Notedebasdepage"/>
      </w:pPr>
      <w:r>
        <w:rPr>
          <w:rStyle w:val="Appelnotedebasdep"/>
        </w:rPr>
        <w:footnoteRef/>
      </w:r>
      <w:r>
        <w:t xml:space="preserve"> Test-Achats – Offres conjointes, </w:t>
      </w:r>
      <w:hyperlink r:id="rId16" w:history="1">
        <w:r w:rsidRPr="00B845E2">
          <w:rPr>
            <w:rStyle w:val="Lienhypertexte"/>
          </w:rPr>
          <w:t>http://goo.gl/Pucas</w:t>
        </w:r>
      </w:hyperlink>
      <w:r>
        <w:t>, consulté la dernière fois le 19/05/2013.</w:t>
      </w:r>
    </w:p>
  </w:footnote>
  <w:footnote w:id="31">
    <w:p w14:paraId="0693BB1F" w14:textId="77777777" w:rsidR="00105A84" w:rsidRPr="00AD495C" w:rsidRDefault="00105A84">
      <w:pPr>
        <w:pStyle w:val="Notedebasdepage"/>
      </w:pPr>
      <w:r>
        <w:rPr>
          <w:rStyle w:val="Appelnotedebasdep"/>
        </w:rPr>
        <w:footnoteRef/>
      </w:r>
      <w:r>
        <w:t xml:space="preserve"> Test-Achats – Offres conjointes, </w:t>
      </w:r>
      <w:hyperlink r:id="rId17" w:history="1">
        <w:r w:rsidRPr="00B845E2">
          <w:rPr>
            <w:rStyle w:val="Lienhypertexte"/>
          </w:rPr>
          <w:t>http://goo.gl/5O7L2</w:t>
        </w:r>
      </w:hyperlink>
      <w:r>
        <w:t>, consulté la dernière fois le 19/05/2013.</w:t>
      </w:r>
    </w:p>
  </w:footnote>
  <w:footnote w:id="32">
    <w:p w14:paraId="0693BB20" w14:textId="77777777" w:rsidR="00105A84" w:rsidRPr="00636C01" w:rsidRDefault="00105A84">
      <w:pPr>
        <w:pStyle w:val="Notedebasdepage"/>
      </w:pPr>
      <w:r>
        <w:rPr>
          <w:rStyle w:val="Appelnotedebasdep"/>
        </w:rPr>
        <w:footnoteRef/>
      </w:r>
      <w:r>
        <w:t xml:space="preserve"> Test Achats – Offres conjointes, </w:t>
      </w:r>
      <w:hyperlink r:id="rId18" w:history="1">
        <w:r w:rsidRPr="00B845E2">
          <w:rPr>
            <w:rStyle w:val="Lienhypertexte"/>
          </w:rPr>
          <w:t>http://goo.gl/vOznE</w:t>
        </w:r>
      </w:hyperlink>
      <w:r>
        <w:t>, consulté la dernière fois le 19/05/2013.</w:t>
      </w:r>
    </w:p>
  </w:footnote>
  <w:footnote w:id="33">
    <w:p w14:paraId="0693BB21" w14:textId="77777777" w:rsidR="00105A84" w:rsidRDefault="00105A84" w:rsidP="009051DD">
      <w:pPr>
        <w:pStyle w:val="Notedebasdepage"/>
        <w:tabs>
          <w:tab w:val="left" w:pos="426"/>
        </w:tabs>
        <w:ind w:left="426" w:hanging="426"/>
        <w:rPr>
          <w:rFonts w:ascii="Times New Roman" w:hAnsi="Times New Roman"/>
          <w:sz w:val="18"/>
          <w:szCs w:val="18"/>
          <w:lang w:eastAsia="en-US"/>
        </w:rPr>
      </w:pPr>
      <w:r>
        <w:rPr>
          <w:rStyle w:val="Appelnotedebasdep"/>
          <w:rFonts w:eastAsia="Calibri"/>
          <w:sz w:val="18"/>
          <w:szCs w:val="18"/>
        </w:rPr>
        <w:footnoteRef/>
      </w:r>
      <w:r w:rsidRPr="009051DD">
        <w:rPr>
          <w:sz w:val="18"/>
          <w:szCs w:val="18"/>
        </w:rPr>
        <w:t xml:space="preserve"> </w:t>
      </w:r>
      <w:r>
        <w:rPr>
          <w:sz w:val="18"/>
          <w:szCs w:val="18"/>
        </w:rPr>
        <w:tab/>
      </w:r>
      <w:r w:rsidRPr="009051DD">
        <w:rPr>
          <w:sz w:val="20"/>
        </w:rPr>
        <w:t xml:space="preserve">E-justice, </w:t>
      </w:r>
      <w:hyperlink r:id="rId19" w:history="1">
        <w:r w:rsidRPr="009051DD">
          <w:rPr>
            <w:rStyle w:val="Lienhypertexte"/>
            <w:rFonts w:eastAsia="Calibri"/>
            <w:sz w:val="20"/>
          </w:rPr>
          <w:t>http://goo.gl/qxIGu</w:t>
        </w:r>
      </w:hyperlink>
      <w:r w:rsidRPr="009051DD">
        <w:rPr>
          <w:sz w:val="20"/>
        </w:rPr>
        <w:t>, consulté le 04.04.2012</w:t>
      </w:r>
    </w:p>
  </w:footnote>
  <w:footnote w:id="34">
    <w:p w14:paraId="0693BB22"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18"/>
          <w:szCs w:val="18"/>
        </w:rPr>
        <w:t xml:space="preserve"> </w:t>
      </w:r>
      <w:r>
        <w:rPr>
          <w:sz w:val="18"/>
          <w:szCs w:val="18"/>
        </w:rPr>
        <w:tab/>
      </w:r>
      <w:r w:rsidRPr="009051DD">
        <w:rPr>
          <w:sz w:val="20"/>
        </w:rPr>
        <w:t xml:space="preserve">E-justice, </w:t>
      </w:r>
      <w:hyperlink r:id="rId20" w:history="1">
        <w:r w:rsidRPr="009051DD">
          <w:rPr>
            <w:rStyle w:val="Lienhypertexte"/>
            <w:rFonts w:eastAsia="Calibri"/>
            <w:sz w:val="20"/>
          </w:rPr>
          <w:t>http://goo.gl/qxIGu</w:t>
        </w:r>
      </w:hyperlink>
      <w:r w:rsidRPr="009051DD">
        <w:rPr>
          <w:sz w:val="20"/>
        </w:rPr>
        <w:t>, consulté le 04.04.2012</w:t>
      </w:r>
    </w:p>
  </w:footnote>
  <w:footnote w:id="35">
    <w:p w14:paraId="0693BB23"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18"/>
          <w:szCs w:val="18"/>
        </w:rPr>
        <w:t xml:space="preserve"> </w:t>
      </w:r>
      <w:r>
        <w:rPr>
          <w:sz w:val="18"/>
          <w:szCs w:val="18"/>
        </w:rPr>
        <w:tab/>
      </w:r>
      <w:r w:rsidRPr="009051DD">
        <w:rPr>
          <w:rStyle w:val="exemple1"/>
          <w:rFonts w:ascii="Trebuchet MS" w:hAnsi="Trebuchet MS"/>
          <w:sz w:val="20"/>
          <w:szCs w:val="20"/>
        </w:rPr>
        <w:t xml:space="preserve">Dir. LAFFINEUR Jacques, </w:t>
      </w:r>
      <w:r w:rsidRPr="009051DD">
        <w:rPr>
          <w:rStyle w:val="exemple1"/>
          <w:rFonts w:ascii="Trebuchet MS" w:hAnsi="Trebuchet MS"/>
          <w:i/>
          <w:iCs/>
          <w:sz w:val="20"/>
          <w:szCs w:val="20"/>
        </w:rPr>
        <w:t>Protection du consommateur, pratiques commerciales et T.I.C.</w:t>
      </w:r>
      <w:r w:rsidRPr="009051DD">
        <w:rPr>
          <w:rStyle w:val="exemple1"/>
          <w:rFonts w:ascii="Trebuchet MS" w:hAnsi="Trebuchet MS"/>
          <w:sz w:val="20"/>
          <w:szCs w:val="20"/>
        </w:rPr>
        <w:t>, Liège, Anthemis</w:t>
      </w:r>
      <w:r w:rsidRPr="009051DD">
        <w:rPr>
          <w:rStyle w:val="exemple1"/>
          <w:rFonts w:ascii="Times New Roman" w:hAnsi="Times New Roman"/>
          <w:sz w:val="20"/>
          <w:szCs w:val="20"/>
        </w:rPr>
        <w:t>, 2</w:t>
      </w:r>
      <w:r w:rsidRPr="009051DD">
        <w:rPr>
          <w:rStyle w:val="exemple1"/>
          <w:rFonts w:ascii="Trebuchet MS" w:hAnsi="Trebuchet MS"/>
          <w:sz w:val="20"/>
          <w:szCs w:val="20"/>
        </w:rPr>
        <w:t xml:space="preserve">009, pp. </w:t>
      </w:r>
      <w:r w:rsidRPr="009051DD">
        <w:rPr>
          <w:rStyle w:val="exemple1"/>
          <w:rFonts w:ascii="Trebuchet MS" w:hAnsi="Trebuchet MS"/>
          <w:sz w:val="18"/>
          <w:szCs w:val="18"/>
        </w:rPr>
        <w:t>16</w:t>
      </w:r>
      <w:r w:rsidRPr="009051DD">
        <w:rPr>
          <w:rStyle w:val="exemple1"/>
          <w:rFonts w:ascii="Trebuchet MS" w:hAnsi="Trebuchet MS"/>
          <w:sz w:val="20"/>
          <w:szCs w:val="20"/>
        </w:rPr>
        <w:t>2-176</w:t>
      </w:r>
    </w:p>
  </w:footnote>
  <w:footnote w:id="36">
    <w:p w14:paraId="0693BB24" w14:textId="77777777" w:rsidR="00105A84" w:rsidRDefault="00105A84" w:rsidP="009051DD">
      <w:pPr>
        <w:pStyle w:val="Notedebasdepage"/>
        <w:tabs>
          <w:tab w:val="left" w:pos="426"/>
        </w:tabs>
        <w:ind w:left="426" w:hanging="426"/>
        <w:rPr>
          <w:sz w:val="20"/>
        </w:rPr>
      </w:pPr>
      <w:r>
        <w:rPr>
          <w:rStyle w:val="Appelnotedebasdep"/>
          <w:rFonts w:eastAsia="Calibri"/>
          <w:sz w:val="18"/>
          <w:szCs w:val="18"/>
        </w:rPr>
        <w:footnoteRef/>
      </w:r>
      <w:r>
        <w:rPr>
          <w:sz w:val="20"/>
        </w:rPr>
        <w:t xml:space="preserve"> </w:t>
      </w:r>
      <w:r>
        <w:rPr>
          <w:sz w:val="20"/>
        </w:rPr>
        <w:tab/>
      </w:r>
      <w:r w:rsidRPr="009051DD">
        <w:rPr>
          <w:sz w:val="20"/>
        </w:rPr>
        <w:t>E-justice, http://goo.gl/JATcI, consulté le 3 avril 2012</w:t>
      </w:r>
    </w:p>
  </w:footnote>
  <w:footnote w:id="37">
    <w:p w14:paraId="0693BB25"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20"/>
        </w:rPr>
        <w:t xml:space="preserve"> </w:t>
      </w:r>
      <w:r>
        <w:rPr>
          <w:sz w:val="20"/>
        </w:rPr>
        <w:tab/>
      </w:r>
      <w:r w:rsidRPr="009051DD">
        <w:rPr>
          <w:sz w:val="20"/>
        </w:rPr>
        <w:t xml:space="preserve">SPF économie, </w:t>
      </w:r>
      <w:hyperlink r:id="rId21" w:history="1">
        <w:r w:rsidRPr="009051DD">
          <w:rPr>
            <w:rStyle w:val="Lienhypertexte"/>
            <w:rFonts w:eastAsia="Calibri"/>
            <w:sz w:val="20"/>
          </w:rPr>
          <w:t>http://goo.gl/XENlq</w:t>
        </w:r>
      </w:hyperlink>
      <w:r w:rsidRPr="009051DD">
        <w:rPr>
          <w:sz w:val="20"/>
        </w:rPr>
        <w:t>, consulté le 07.04.2012</w:t>
      </w:r>
    </w:p>
  </w:footnote>
  <w:footnote w:id="38">
    <w:p w14:paraId="0693BB26"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20"/>
        </w:rPr>
        <w:t xml:space="preserve"> </w:t>
      </w:r>
      <w:r>
        <w:rPr>
          <w:sz w:val="20"/>
        </w:rPr>
        <w:tab/>
      </w:r>
      <w:r w:rsidRPr="009051DD">
        <w:rPr>
          <w:sz w:val="20"/>
        </w:rPr>
        <w:t xml:space="preserve">Commission des Clauses Abusives, </w:t>
      </w:r>
      <w:r w:rsidRPr="009051DD">
        <w:rPr>
          <w:i/>
          <w:sz w:val="20"/>
        </w:rPr>
        <w:t xml:space="preserve">Avis sur le régime des clauses abusives dans la proposition de directive </w:t>
      </w:r>
      <w:r>
        <w:rPr>
          <w:i/>
          <w:sz w:val="18"/>
          <w:szCs w:val="18"/>
        </w:rPr>
        <w:t>r</w:t>
      </w:r>
      <w:r w:rsidRPr="009051DD">
        <w:rPr>
          <w:i/>
          <w:sz w:val="20"/>
        </w:rPr>
        <w:t xml:space="preserve">elative aux droits des consommateurs, </w:t>
      </w:r>
      <w:r w:rsidRPr="009051DD">
        <w:rPr>
          <w:sz w:val="20"/>
        </w:rPr>
        <w:t xml:space="preserve">Bruxelles, 9 juin 2010, </w:t>
      </w:r>
      <w:hyperlink r:id="rId22" w:history="1">
        <w:r w:rsidRPr="009051DD">
          <w:rPr>
            <w:rStyle w:val="Lienhypertexte"/>
            <w:rFonts w:eastAsia="Calibri"/>
            <w:sz w:val="20"/>
          </w:rPr>
          <w:t>http://goo.gl/koVVz</w:t>
        </w:r>
      </w:hyperlink>
      <w:r w:rsidRPr="009051DD">
        <w:rPr>
          <w:sz w:val="20"/>
        </w:rPr>
        <w:t>, consulté le 09.04.2012</w:t>
      </w:r>
    </w:p>
  </w:footnote>
  <w:footnote w:id="39">
    <w:p w14:paraId="0693BB27"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20"/>
        </w:rPr>
        <w:t xml:space="preserve"> </w:t>
      </w:r>
      <w:r>
        <w:rPr>
          <w:sz w:val="20"/>
        </w:rPr>
        <w:tab/>
      </w:r>
      <w:r w:rsidRPr="009051DD">
        <w:rPr>
          <w:sz w:val="20"/>
        </w:rPr>
        <w:t xml:space="preserve">E-justice, </w:t>
      </w:r>
      <w:hyperlink r:id="rId23" w:history="1">
        <w:r w:rsidRPr="009051DD">
          <w:rPr>
            <w:rStyle w:val="Lienhypertexte"/>
            <w:rFonts w:eastAsia="Calibri"/>
            <w:sz w:val="20"/>
          </w:rPr>
          <w:t>http://goo.gl/JATcI</w:t>
        </w:r>
      </w:hyperlink>
      <w:r w:rsidRPr="009051DD">
        <w:rPr>
          <w:sz w:val="20"/>
        </w:rPr>
        <w:t>, consulté le 09.04.2012</w:t>
      </w:r>
    </w:p>
  </w:footnote>
  <w:footnote w:id="40">
    <w:p w14:paraId="0693BB28"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20"/>
        </w:rPr>
        <w:t xml:space="preserve"> </w:t>
      </w:r>
      <w:r>
        <w:rPr>
          <w:sz w:val="20"/>
        </w:rPr>
        <w:tab/>
      </w:r>
      <w:r w:rsidRPr="009051DD">
        <w:rPr>
          <w:sz w:val="20"/>
        </w:rPr>
        <w:t>« </w:t>
      </w:r>
      <w:r w:rsidRPr="009051DD">
        <w:rPr>
          <w:i/>
          <w:sz w:val="20"/>
          <w:lang w:eastAsia="fr-BE"/>
        </w:rPr>
        <w:t xml:space="preserve">En cas de doute sur le sens d'une clause, l'interprétation la plus favorable au consommateur prévaut », </w:t>
      </w:r>
      <w:r>
        <w:rPr>
          <w:sz w:val="18"/>
          <w:szCs w:val="18"/>
          <w:lang w:eastAsia="fr-BE"/>
        </w:rPr>
        <w:t>a</w:t>
      </w:r>
      <w:r w:rsidRPr="009051DD">
        <w:rPr>
          <w:sz w:val="20"/>
          <w:lang w:eastAsia="fr-BE"/>
        </w:rPr>
        <w:t>rticle 5 directive 93/12 CEE.</w:t>
      </w:r>
      <w:r w:rsidRPr="009051DD">
        <w:rPr>
          <w:i/>
          <w:sz w:val="20"/>
          <w:lang w:eastAsia="fr-BE"/>
        </w:rPr>
        <w:t xml:space="preserve"> </w:t>
      </w:r>
    </w:p>
  </w:footnote>
  <w:footnote w:id="41">
    <w:p w14:paraId="0693BB29" w14:textId="77777777" w:rsidR="00105A84" w:rsidRDefault="00105A84" w:rsidP="009051DD">
      <w:pPr>
        <w:pStyle w:val="Notedebasdepage"/>
        <w:tabs>
          <w:tab w:val="left" w:pos="426"/>
        </w:tabs>
        <w:ind w:left="426" w:hanging="426"/>
        <w:rPr>
          <w:sz w:val="18"/>
          <w:szCs w:val="18"/>
        </w:rPr>
      </w:pPr>
      <w:r>
        <w:rPr>
          <w:rStyle w:val="Appelnotedebasdep"/>
          <w:rFonts w:eastAsia="Calibri"/>
          <w:sz w:val="18"/>
          <w:szCs w:val="18"/>
        </w:rPr>
        <w:footnoteRef/>
      </w:r>
      <w:r w:rsidRPr="009051DD">
        <w:rPr>
          <w:sz w:val="20"/>
        </w:rPr>
        <w:t xml:space="preserve"> </w:t>
      </w:r>
      <w:r>
        <w:rPr>
          <w:sz w:val="20"/>
        </w:rPr>
        <w:tab/>
      </w:r>
      <w:r w:rsidRPr="009051DD">
        <w:rPr>
          <w:sz w:val="20"/>
        </w:rPr>
        <w:t xml:space="preserve">Arrêt de la Cour de Justice européenne (quatrième chambre) du 4 juin 2009, affaire C-243/08, Recueil de la </w:t>
      </w:r>
      <w:r>
        <w:rPr>
          <w:sz w:val="18"/>
          <w:szCs w:val="18"/>
        </w:rPr>
        <w:t>j</w:t>
      </w:r>
      <w:r w:rsidRPr="009051DD">
        <w:rPr>
          <w:sz w:val="20"/>
        </w:rPr>
        <w:t xml:space="preserve">urisprudence 2009 I-04713, </w:t>
      </w:r>
      <w:hyperlink r:id="rId24" w:history="1">
        <w:r w:rsidRPr="009051DD">
          <w:rPr>
            <w:rStyle w:val="Lienhypertexte"/>
            <w:rFonts w:eastAsia="Calibri"/>
            <w:sz w:val="20"/>
          </w:rPr>
          <w:t>http://goo.gl/ILzH0</w:t>
        </w:r>
      </w:hyperlink>
      <w:r w:rsidRPr="009051DD">
        <w:rPr>
          <w:sz w:val="20"/>
        </w:rPr>
        <w:t>, consulté le 10.04.2012</w:t>
      </w:r>
    </w:p>
  </w:footnote>
  <w:footnote w:id="42">
    <w:p w14:paraId="0693BB2A" w14:textId="77777777" w:rsidR="00105A84" w:rsidRDefault="00105A84" w:rsidP="009051DD">
      <w:pPr>
        <w:tabs>
          <w:tab w:val="left" w:pos="426"/>
        </w:tabs>
        <w:ind w:left="426" w:hanging="426"/>
        <w:jc w:val="both"/>
        <w:rPr>
          <w:sz w:val="24"/>
          <w:szCs w:val="22"/>
        </w:rPr>
      </w:pPr>
      <w:r>
        <w:rPr>
          <w:rStyle w:val="Appelnotedebasdep"/>
          <w:rFonts w:eastAsia="Calibri"/>
          <w:sz w:val="18"/>
          <w:szCs w:val="18"/>
        </w:rPr>
        <w:footnoteRef/>
      </w:r>
      <w:r w:rsidRPr="009051DD">
        <w:rPr>
          <w:szCs w:val="20"/>
        </w:rPr>
        <w:t xml:space="preserve"> </w:t>
      </w:r>
      <w:r>
        <w:rPr>
          <w:szCs w:val="20"/>
        </w:rPr>
        <w:tab/>
      </w:r>
      <w:r w:rsidRPr="009051DD">
        <w:rPr>
          <w:szCs w:val="20"/>
        </w:rPr>
        <w:t>« </w:t>
      </w:r>
      <w:r w:rsidRPr="009051DD">
        <w:rPr>
          <w:i/>
          <w:szCs w:val="20"/>
          <w:lang w:eastAsia="fr-BE"/>
        </w:rPr>
        <w:t xml:space="preserve">Une clause d'un contrat n'ayant pas fait l'objet d'une négociation individuelle est considérée comme </w:t>
      </w:r>
      <w:r>
        <w:rPr>
          <w:i/>
          <w:sz w:val="18"/>
          <w:szCs w:val="18"/>
          <w:lang w:eastAsia="fr-BE"/>
        </w:rPr>
        <w:t>a</w:t>
      </w:r>
      <w:r w:rsidRPr="009051DD">
        <w:rPr>
          <w:i/>
          <w:szCs w:val="20"/>
          <w:lang w:eastAsia="fr-BE"/>
        </w:rPr>
        <w:t xml:space="preserve">busive lorsque, en dépit de l'exigence de bonne foi, elle crée au détriment du consommateur un déséquilibre </w:t>
      </w:r>
      <w:r>
        <w:rPr>
          <w:i/>
          <w:sz w:val="18"/>
          <w:szCs w:val="18"/>
          <w:lang w:eastAsia="fr-BE"/>
        </w:rPr>
        <w:t>si</w:t>
      </w:r>
      <w:r w:rsidRPr="009051DD">
        <w:rPr>
          <w:i/>
          <w:szCs w:val="20"/>
          <w:lang w:eastAsia="fr-BE"/>
        </w:rPr>
        <w:t>gnificatif entre les droits et obligations des parties découlant du contrat »,  directive 93/12 CEE.</w:t>
      </w:r>
    </w:p>
  </w:footnote>
  <w:footnote w:id="43">
    <w:p w14:paraId="0693BB2B" w14:textId="77777777" w:rsidR="00105A84" w:rsidRPr="00DB4401" w:rsidRDefault="00105A84" w:rsidP="00027A02">
      <w:pPr>
        <w:pStyle w:val="Notedebasdepage"/>
        <w:tabs>
          <w:tab w:val="left" w:pos="426"/>
        </w:tabs>
        <w:ind w:left="426" w:hanging="426"/>
        <w:jc w:val="both"/>
      </w:pPr>
      <w:r>
        <w:rPr>
          <w:rStyle w:val="Appelnotedebasdep"/>
        </w:rPr>
        <w:footnoteRef/>
      </w:r>
      <w:r>
        <w:t xml:space="preserve"> </w:t>
      </w:r>
      <w:r>
        <w:tab/>
      </w:r>
      <w:hyperlink r:id="rId25" w:history="1">
        <w:r w:rsidRPr="00027A02">
          <w:rPr>
            <w:sz w:val="20"/>
          </w:rPr>
          <w:t>Beyens</w:t>
        </w:r>
      </w:hyperlink>
      <w:r w:rsidRPr="00027A02">
        <w:rPr>
          <w:sz w:val="20"/>
        </w:rPr>
        <w:t xml:space="preserve">, </w:t>
      </w:r>
      <w:hyperlink r:id="rId26" w:history="1">
        <w:r w:rsidRPr="00027A02">
          <w:rPr>
            <w:sz w:val="20"/>
          </w:rPr>
          <w:t>Pierre</w:t>
        </w:r>
      </w:hyperlink>
      <w:r w:rsidRPr="00027A02">
        <w:rPr>
          <w:sz w:val="20"/>
        </w:rPr>
        <w:t xml:space="preserve">, </w:t>
      </w:r>
      <w:hyperlink r:id="rId27" w:history="1">
        <w:r w:rsidRPr="00027A02">
          <w:rPr>
            <w:sz w:val="20"/>
          </w:rPr>
          <w:t>Vermeulen</w:t>
        </w:r>
      </w:hyperlink>
      <w:r w:rsidRPr="00027A02">
        <w:rPr>
          <w:sz w:val="20"/>
        </w:rPr>
        <w:t xml:space="preserve">, </w:t>
      </w:r>
      <w:hyperlink r:id="rId28" w:history="1">
        <w:r w:rsidRPr="00027A02">
          <w:rPr>
            <w:sz w:val="20"/>
          </w:rPr>
          <w:t>Valéry</w:t>
        </w:r>
      </w:hyperlink>
      <w:r w:rsidRPr="00027A02">
        <w:rPr>
          <w:sz w:val="20"/>
        </w:rPr>
        <w:t xml:space="preserve">,  La concurrence déloyale, </w:t>
      </w:r>
      <w:hyperlink r:id="rId29" w:history="1">
        <w:r w:rsidRPr="00027A02">
          <w:rPr>
            <w:rStyle w:val="Lienhypertexte"/>
            <w:sz w:val="20"/>
          </w:rPr>
          <w:t>http://goo.gl/T83St</w:t>
        </w:r>
      </w:hyperlink>
      <w:r w:rsidRPr="00027A02">
        <w:rPr>
          <w:sz w:val="20"/>
        </w:rPr>
        <w:t xml:space="preserve"> , consulté la dernière fois le 14/03/2012.</w:t>
      </w:r>
    </w:p>
  </w:footnote>
  <w:footnote w:id="44">
    <w:p w14:paraId="0693BB2C" w14:textId="77777777" w:rsidR="00105A84" w:rsidRPr="00027A02" w:rsidRDefault="00105A84" w:rsidP="00027A02">
      <w:pPr>
        <w:pStyle w:val="Notedebasdepage"/>
        <w:tabs>
          <w:tab w:val="left" w:pos="426"/>
        </w:tabs>
        <w:ind w:left="426" w:hanging="426"/>
        <w:rPr>
          <w:sz w:val="20"/>
        </w:rPr>
      </w:pPr>
      <w:r>
        <w:rPr>
          <w:rStyle w:val="Appelnotedebasdep"/>
        </w:rPr>
        <w:footnoteRef/>
      </w:r>
      <w:r w:rsidRPr="00613F73">
        <w:t xml:space="preserve"> </w:t>
      </w:r>
      <w:r>
        <w:tab/>
      </w:r>
      <w:r w:rsidRPr="00027A02">
        <w:rPr>
          <w:sz w:val="20"/>
        </w:rPr>
        <w:t xml:space="preserve">Hardy, Benoît, </w:t>
      </w:r>
      <w:hyperlink r:id="rId30" w:history="1">
        <w:r w:rsidRPr="00027A02">
          <w:rPr>
            <w:sz w:val="20"/>
          </w:rPr>
          <w:t>http://blog.sedlex.be/?tag=concurrence-deloyale</w:t>
        </w:r>
      </w:hyperlink>
      <w:r w:rsidRPr="00027A02">
        <w:rPr>
          <w:sz w:val="20"/>
        </w:rPr>
        <w:t>, consulté la dernière fois le 14/03/2012</w:t>
      </w:r>
      <w:r>
        <w:rPr>
          <w:sz w:val="20"/>
        </w:rPr>
        <w:t>.</w:t>
      </w:r>
    </w:p>
  </w:footnote>
  <w:footnote w:id="45">
    <w:p w14:paraId="0693BB2D" w14:textId="77777777" w:rsidR="00105A84" w:rsidRPr="009051DD" w:rsidRDefault="00105A84" w:rsidP="009051DD">
      <w:pPr>
        <w:pStyle w:val="Notedebasdepage"/>
        <w:tabs>
          <w:tab w:val="left" w:pos="426"/>
        </w:tabs>
        <w:ind w:left="426" w:hanging="426"/>
        <w:jc w:val="both"/>
        <w:rPr>
          <w:sz w:val="20"/>
        </w:rPr>
      </w:pPr>
      <w:r>
        <w:rPr>
          <w:rStyle w:val="Appelnotedebasdep"/>
        </w:rPr>
        <w:footnoteRef/>
      </w:r>
      <w:r>
        <w:t xml:space="preserve"> </w:t>
      </w:r>
      <w:r w:rsidRPr="009051DD">
        <w:rPr>
          <w:sz w:val="20"/>
        </w:rPr>
        <w:t xml:space="preserve">Centre de ressources pour l'enseignement professionnel en économie-gestion, </w:t>
      </w:r>
      <w:hyperlink r:id="rId31" w:history="1">
        <w:r w:rsidRPr="009051DD">
          <w:rPr>
            <w:sz w:val="20"/>
          </w:rPr>
          <w:t>http://goo.gl/m8oZE</w:t>
        </w:r>
      </w:hyperlink>
      <w:r w:rsidRPr="009051DD">
        <w:rPr>
          <w:sz w:val="20"/>
        </w:rPr>
        <w:t>, 28/10/2011.</w:t>
      </w:r>
    </w:p>
  </w:footnote>
  <w:footnote w:id="46">
    <w:p w14:paraId="0693BB2E" w14:textId="77777777" w:rsidR="00105A84" w:rsidRPr="00DA2DA8" w:rsidRDefault="00105A84" w:rsidP="009051DD">
      <w:pPr>
        <w:pStyle w:val="Notedebasdepage"/>
        <w:tabs>
          <w:tab w:val="left" w:pos="426"/>
        </w:tabs>
        <w:ind w:left="426" w:hanging="426"/>
      </w:pPr>
      <w:r>
        <w:rPr>
          <w:rStyle w:val="Appelnotedebasdep"/>
        </w:rPr>
        <w:footnoteRef/>
      </w:r>
      <w:r>
        <w:t xml:space="preserve"> </w:t>
      </w:r>
      <w:r>
        <w:tab/>
      </w:r>
      <w:r w:rsidRPr="009051DD">
        <w:rPr>
          <w:sz w:val="20"/>
        </w:rPr>
        <w:t>On peut déposer (et donc retirer) de tout sur un compte, hors les denrées périssables. Des lettres, par exemple.</w:t>
      </w:r>
    </w:p>
  </w:footnote>
  <w:footnote w:id="47">
    <w:p w14:paraId="0693BB2F" w14:textId="77777777" w:rsidR="00105A84" w:rsidRPr="007946A5" w:rsidRDefault="00105A84" w:rsidP="009051DD">
      <w:pPr>
        <w:pStyle w:val="Notedebasdepage"/>
        <w:tabs>
          <w:tab w:val="left" w:pos="426"/>
        </w:tabs>
        <w:ind w:left="426" w:hanging="426"/>
        <w:rPr>
          <w:sz w:val="20"/>
        </w:rPr>
      </w:pPr>
      <w:r w:rsidRPr="007946A5">
        <w:rPr>
          <w:rStyle w:val="Appelnotedebasdep"/>
          <w:sz w:val="20"/>
        </w:rPr>
        <w:footnoteRef/>
      </w:r>
      <w:r w:rsidRPr="007946A5">
        <w:rPr>
          <w:sz w:val="20"/>
        </w:rPr>
        <w:t xml:space="preserve"> </w:t>
      </w:r>
      <w:r>
        <w:rPr>
          <w:sz w:val="20"/>
        </w:rPr>
        <w:tab/>
      </w:r>
      <w:r w:rsidRPr="007946A5">
        <w:rPr>
          <w:sz w:val="20"/>
        </w:rPr>
        <w:t>42,86 %.</w:t>
      </w:r>
    </w:p>
  </w:footnote>
  <w:footnote w:id="48">
    <w:p w14:paraId="0693BB30" w14:textId="77777777" w:rsidR="00105A84" w:rsidRPr="007946A5" w:rsidRDefault="00105A84" w:rsidP="009051DD">
      <w:pPr>
        <w:pStyle w:val="Notedebasdepage"/>
        <w:tabs>
          <w:tab w:val="left" w:pos="426"/>
        </w:tabs>
        <w:ind w:left="426" w:hanging="426"/>
        <w:rPr>
          <w:sz w:val="20"/>
        </w:rPr>
      </w:pPr>
      <w:r w:rsidRPr="007946A5">
        <w:rPr>
          <w:rStyle w:val="Appelnotedebasdep"/>
          <w:sz w:val="20"/>
        </w:rPr>
        <w:footnoteRef/>
      </w:r>
      <w:r w:rsidRPr="007946A5">
        <w:rPr>
          <w:sz w:val="20"/>
        </w:rPr>
        <w:t xml:space="preserve"> </w:t>
      </w:r>
      <w:r>
        <w:rPr>
          <w:sz w:val="20"/>
        </w:rPr>
        <w:tab/>
      </w:r>
      <w:r w:rsidRPr="007946A5">
        <w:rPr>
          <w:sz w:val="20"/>
        </w:rPr>
        <w:t>100 %.</w:t>
      </w:r>
    </w:p>
  </w:footnote>
  <w:footnote w:id="49">
    <w:p w14:paraId="0693BB31" w14:textId="77777777" w:rsidR="00105A84" w:rsidRPr="007526CC" w:rsidRDefault="00105A84" w:rsidP="007526CC">
      <w:pPr>
        <w:pStyle w:val="Notedebasdepage"/>
        <w:tabs>
          <w:tab w:val="left" w:pos="426"/>
        </w:tabs>
        <w:ind w:left="426" w:hanging="426"/>
        <w:rPr>
          <w:sz w:val="20"/>
        </w:rPr>
      </w:pPr>
      <w:r>
        <w:rPr>
          <w:rStyle w:val="Appelnotedebasdep"/>
        </w:rPr>
        <w:footnoteRef/>
      </w:r>
      <w:r>
        <w:t xml:space="preserve"> </w:t>
      </w:r>
      <w:r>
        <w:tab/>
      </w:r>
      <w:r w:rsidRPr="007526CC">
        <w:rPr>
          <w:sz w:val="20"/>
        </w:rPr>
        <w:t xml:space="preserve">Site du droit belge – Loi sur la continuité des entreprises, </w:t>
      </w:r>
      <w:hyperlink r:id="rId32" w:history="1">
        <w:r w:rsidRPr="007526CC">
          <w:rPr>
            <w:rStyle w:val="Lienhypertexte"/>
            <w:sz w:val="20"/>
          </w:rPr>
          <w:t>http://goo.gl/ziYki</w:t>
        </w:r>
      </w:hyperlink>
      <w:r w:rsidRPr="007526CC">
        <w:rPr>
          <w:sz w:val="20"/>
        </w:rPr>
        <w:t>, 23/04/2011</w:t>
      </w:r>
      <w:r>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3BAFE" w14:textId="77777777" w:rsidR="00105A84" w:rsidRPr="00650160" w:rsidRDefault="00105A84" w:rsidP="00650160">
    <w:pPr>
      <w:pStyle w:val="En-tte"/>
      <w:pBdr>
        <w:bottom w:val="single" w:sz="4" w:space="1" w:color="auto"/>
      </w:pBdr>
      <w:rPr>
        <w:b/>
      </w:rPr>
    </w:pPr>
    <w:r w:rsidRPr="00650160">
      <w:rPr>
        <w:b/>
      </w:rPr>
      <w:t>Législation et droit commercial</w:t>
    </w:r>
    <w:r>
      <w:rPr>
        <w:b/>
      </w:rPr>
      <w:t xml:space="preserve"> – Notes de cours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0000000D"/>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
    <w:nsid w:val="0000000E"/>
    <w:multiLevelType w:val="hybridMultilevel"/>
    <w:tmpl w:val="0000000E"/>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2">
    <w:nsid w:val="0000000F"/>
    <w:multiLevelType w:val="hybridMultilevel"/>
    <w:tmpl w:val="0000000F"/>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3">
    <w:nsid w:val="00000010"/>
    <w:multiLevelType w:val="hybridMultilevel"/>
    <w:tmpl w:val="00000010"/>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4">
    <w:nsid w:val="00000011"/>
    <w:multiLevelType w:val="hybridMultilevel"/>
    <w:tmpl w:val="00000011"/>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5">
    <w:nsid w:val="00000012"/>
    <w:multiLevelType w:val="hybridMultilevel"/>
    <w:tmpl w:val="00000012"/>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6">
    <w:nsid w:val="00000014"/>
    <w:multiLevelType w:val="hybridMultilevel"/>
    <w:tmpl w:val="00000014"/>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7">
    <w:nsid w:val="00000015"/>
    <w:multiLevelType w:val="hybridMultilevel"/>
    <w:tmpl w:val="00000015"/>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8">
    <w:nsid w:val="00000016"/>
    <w:multiLevelType w:val="hybridMultilevel"/>
    <w:tmpl w:val="00000016"/>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9">
    <w:nsid w:val="00000017"/>
    <w:multiLevelType w:val="hybridMultilevel"/>
    <w:tmpl w:val="00000017"/>
    <w:lvl w:ilvl="0" w:tplc="FFFFFFFF">
      <w:start w:val="1"/>
      <w:numFmt w:val="bullet"/>
      <w:lvlText w:val=""/>
      <w:lvlJc w:val="left"/>
      <w:pPr>
        <w:tabs>
          <w:tab w:val="num" w:pos="360"/>
        </w:tabs>
        <w:ind w:left="360" w:hanging="360"/>
      </w:pPr>
      <w:rPr>
        <w:rFonts w:ascii="Symbol" w:hAnsi="Symbol"/>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0">
    <w:nsid w:val="014F73AD"/>
    <w:multiLevelType w:val="hybridMultilevel"/>
    <w:tmpl w:val="E8EA1C36"/>
    <w:lvl w:ilvl="0" w:tplc="DB90DBEC">
      <w:start w:val="1"/>
      <w:numFmt w:val="bullet"/>
      <w:lvlText w:val="●"/>
      <w:lvlJc w:val="left"/>
      <w:pPr>
        <w:tabs>
          <w:tab w:val="num" w:pos="360"/>
        </w:tabs>
        <w:ind w:left="360" w:hanging="360"/>
      </w:pPr>
      <w:rPr>
        <w:rFonts w:ascii="Comic Sans MS" w:hAnsi="Comic Sans MS" w:hint="default"/>
      </w:rPr>
    </w:lvl>
    <w:lvl w:ilvl="1" w:tplc="040C0007">
      <w:start w:val="1"/>
      <w:numFmt w:val="bullet"/>
      <w:lvlText w:val=""/>
      <w:lvlJc w:val="left"/>
      <w:pPr>
        <w:tabs>
          <w:tab w:val="num" w:pos="1440"/>
        </w:tabs>
        <w:ind w:left="1440" w:hanging="360"/>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3D52CBE"/>
    <w:multiLevelType w:val="hybridMultilevel"/>
    <w:tmpl w:val="5B3C7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464178D"/>
    <w:multiLevelType w:val="hybridMultilevel"/>
    <w:tmpl w:val="7C82F186"/>
    <w:lvl w:ilvl="0" w:tplc="9DE4B810">
      <w:start w:val="1"/>
      <w:numFmt w:val="decimal"/>
      <w:lvlText w:val="%1)"/>
      <w:lvlJc w:val="left"/>
      <w:pPr>
        <w:ind w:left="720" w:hanging="360"/>
      </w:pPr>
      <w:rPr>
        <w:rFonts w:cs="Times New Roman"/>
        <w:strike w:val="0"/>
        <w:dstrike w:val="0"/>
        <w:u w:val="none"/>
        <w:effect w:val="none"/>
      </w:rPr>
    </w:lvl>
    <w:lvl w:ilvl="1" w:tplc="040C000B">
      <w:start w:val="1"/>
      <w:numFmt w:val="bullet"/>
      <w:lvlText w:val=""/>
      <w:lvlJc w:val="left"/>
      <w:pPr>
        <w:tabs>
          <w:tab w:val="num" w:pos="1440"/>
        </w:tabs>
        <w:ind w:left="1440" w:hanging="360"/>
      </w:pPr>
      <w:rPr>
        <w:rFonts w:ascii="Wingdings" w:hAnsi="Wingdings" w:hint="default"/>
        <w:strike w:val="0"/>
        <w:dstrike w:val="0"/>
        <w:u w:val="none"/>
        <w:effect w:val="none"/>
      </w:rPr>
    </w:lvl>
    <w:lvl w:ilvl="2" w:tplc="080C001B">
      <w:start w:val="1"/>
      <w:numFmt w:val="lowerRoman"/>
      <w:lvlText w:val="%3."/>
      <w:lvlJc w:val="right"/>
      <w:pPr>
        <w:ind w:left="2160" w:hanging="180"/>
      </w:pPr>
      <w:rPr>
        <w:rFonts w:cs="Times New Roman"/>
      </w:rPr>
    </w:lvl>
    <w:lvl w:ilvl="3" w:tplc="080C000F">
      <w:start w:val="1"/>
      <w:numFmt w:val="decimal"/>
      <w:lvlText w:val="%4."/>
      <w:lvlJc w:val="left"/>
      <w:pPr>
        <w:ind w:left="2880" w:hanging="360"/>
      </w:pPr>
      <w:rPr>
        <w:rFonts w:cs="Times New Roman"/>
      </w:rPr>
    </w:lvl>
    <w:lvl w:ilvl="4" w:tplc="080C0019">
      <w:start w:val="1"/>
      <w:numFmt w:val="lowerLetter"/>
      <w:lvlText w:val="%5."/>
      <w:lvlJc w:val="left"/>
      <w:pPr>
        <w:ind w:left="3600" w:hanging="360"/>
      </w:pPr>
      <w:rPr>
        <w:rFonts w:cs="Times New Roman"/>
      </w:rPr>
    </w:lvl>
    <w:lvl w:ilvl="5" w:tplc="080C001B">
      <w:start w:val="1"/>
      <w:numFmt w:val="lowerRoman"/>
      <w:lvlText w:val="%6."/>
      <w:lvlJc w:val="right"/>
      <w:pPr>
        <w:ind w:left="4320" w:hanging="180"/>
      </w:pPr>
      <w:rPr>
        <w:rFonts w:cs="Times New Roman"/>
      </w:rPr>
    </w:lvl>
    <w:lvl w:ilvl="6" w:tplc="080C000F">
      <w:start w:val="1"/>
      <w:numFmt w:val="decimal"/>
      <w:lvlText w:val="%7."/>
      <w:lvlJc w:val="left"/>
      <w:pPr>
        <w:ind w:left="5040" w:hanging="360"/>
      </w:pPr>
      <w:rPr>
        <w:rFonts w:cs="Times New Roman"/>
      </w:rPr>
    </w:lvl>
    <w:lvl w:ilvl="7" w:tplc="080C0019">
      <w:start w:val="1"/>
      <w:numFmt w:val="lowerLetter"/>
      <w:lvlText w:val="%8."/>
      <w:lvlJc w:val="left"/>
      <w:pPr>
        <w:ind w:left="5760" w:hanging="360"/>
      </w:pPr>
      <w:rPr>
        <w:rFonts w:cs="Times New Roman"/>
      </w:rPr>
    </w:lvl>
    <w:lvl w:ilvl="8" w:tplc="080C001B">
      <w:start w:val="1"/>
      <w:numFmt w:val="lowerRoman"/>
      <w:lvlText w:val="%9."/>
      <w:lvlJc w:val="right"/>
      <w:pPr>
        <w:ind w:left="6480" w:hanging="180"/>
      </w:pPr>
      <w:rPr>
        <w:rFonts w:cs="Times New Roman"/>
      </w:rPr>
    </w:lvl>
  </w:abstractNum>
  <w:abstractNum w:abstractNumId="13">
    <w:nsid w:val="098B5D41"/>
    <w:multiLevelType w:val="hybridMultilevel"/>
    <w:tmpl w:val="AF827A92"/>
    <w:lvl w:ilvl="0" w:tplc="F43098A6">
      <w:start w:val="17"/>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D0F24C9"/>
    <w:multiLevelType w:val="multilevel"/>
    <w:tmpl w:val="FC12CE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0DBD3BDD"/>
    <w:multiLevelType w:val="multilevel"/>
    <w:tmpl w:val="C08AF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0401A2D"/>
    <w:multiLevelType w:val="hybridMultilevel"/>
    <w:tmpl w:val="DC461D7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9FD2513"/>
    <w:multiLevelType w:val="hybridMultilevel"/>
    <w:tmpl w:val="F7BEF05E"/>
    <w:lvl w:ilvl="0" w:tplc="080C000F">
      <w:start w:val="1"/>
      <w:numFmt w:val="decimal"/>
      <w:lvlText w:val="%1."/>
      <w:lvlJc w:val="left"/>
      <w:pPr>
        <w:ind w:left="2847" w:hanging="360"/>
      </w:pPr>
    </w:lvl>
    <w:lvl w:ilvl="1" w:tplc="080C0019" w:tentative="1">
      <w:start w:val="1"/>
      <w:numFmt w:val="lowerLetter"/>
      <w:lvlText w:val="%2."/>
      <w:lvlJc w:val="left"/>
      <w:pPr>
        <w:ind w:left="3567" w:hanging="360"/>
      </w:pPr>
    </w:lvl>
    <w:lvl w:ilvl="2" w:tplc="080C001B" w:tentative="1">
      <w:start w:val="1"/>
      <w:numFmt w:val="lowerRoman"/>
      <w:lvlText w:val="%3."/>
      <w:lvlJc w:val="right"/>
      <w:pPr>
        <w:ind w:left="4287" w:hanging="180"/>
      </w:pPr>
    </w:lvl>
    <w:lvl w:ilvl="3" w:tplc="080C000F" w:tentative="1">
      <w:start w:val="1"/>
      <w:numFmt w:val="decimal"/>
      <w:lvlText w:val="%4."/>
      <w:lvlJc w:val="left"/>
      <w:pPr>
        <w:ind w:left="5007" w:hanging="360"/>
      </w:pPr>
    </w:lvl>
    <w:lvl w:ilvl="4" w:tplc="080C0019" w:tentative="1">
      <w:start w:val="1"/>
      <w:numFmt w:val="lowerLetter"/>
      <w:lvlText w:val="%5."/>
      <w:lvlJc w:val="left"/>
      <w:pPr>
        <w:ind w:left="5727" w:hanging="360"/>
      </w:pPr>
    </w:lvl>
    <w:lvl w:ilvl="5" w:tplc="080C001B" w:tentative="1">
      <w:start w:val="1"/>
      <w:numFmt w:val="lowerRoman"/>
      <w:lvlText w:val="%6."/>
      <w:lvlJc w:val="right"/>
      <w:pPr>
        <w:ind w:left="6447" w:hanging="180"/>
      </w:pPr>
    </w:lvl>
    <w:lvl w:ilvl="6" w:tplc="080C000F" w:tentative="1">
      <w:start w:val="1"/>
      <w:numFmt w:val="decimal"/>
      <w:lvlText w:val="%7."/>
      <w:lvlJc w:val="left"/>
      <w:pPr>
        <w:ind w:left="7167" w:hanging="360"/>
      </w:pPr>
    </w:lvl>
    <w:lvl w:ilvl="7" w:tplc="080C0019" w:tentative="1">
      <w:start w:val="1"/>
      <w:numFmt w:val="lowerLetter"/>
      <w:lvlText w:val="%8."/>
      <w:lvlJc w:val="left"/>
      <w:pPr>
        <w:ind w:left="7887" w:hanging="360"/>
      </w:pPr>
    </w:lvl>
    <w:lvl w:ilvl="8" w:tplc="080C001B" w:tentative="1">
      <w:start w:val="1"/>
      <w:numFmt w:val="lowerRoman"/>
      <w:lvlText w:val="%9."/>
      <w:lvlJc w:val="right"/>
      <w:pPr>
        <w:ind w:left="8607" w:hanging="180"/>
      </w:pPr>
    </w:lvl>
  </w:abstractNum>
  <w:abstractNum w:abstractNumId="18">
    <w:nsid w:val="1A6F5235"/>
    <w:multiLevelType w:val="hybridMultilevel"/>
    <w:tmpl w:val="2392E0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C745393"/>
    <w:multiLevelType w:val="hybridMultilevel"/>
    <w:tmpl w:val="8F927722"/>
    <w:lvl w:ilvl="0" w:tplc="3A902E38">
      <w:start w:val="1"/>
      <w:numFmt w:val="bullet"/>
      <w:lvlText w:val="-"/>
      <w:lvlJc w:val="left"/>
      <w:pPr>
        <w:ind w:left="720" w:hanging="360"/>
      </w:pPr>
      <w:rPr>
        <w:rFonts w:ascii="Times New Roman" w:eastAsia="Calibr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0">
    <w:nsid w:val="1CFE60BD"/>
    <w:multiLevelType w:val="hybridMultilevel"/>
    <w:tmpl w:val="1CA2C0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D1727D8"/>
    <w:multiLevelType w:val="hybridMultilevel"/>
    <w:tmpl w:val="73447FE0"/>
    <w:lvl w:ilvl="0" w:tplc="040C0001">
      <w:start w:val="1"/>
      <w:numFmt w:val="bullet"/>
      <w:lvlText w:val=""/>
      <w:lvlJc w:val="left"/>
      <w:pPr>
        <w:tabs>
          <w:tab w:val="num" w:pos="783"/>
        </w:tabs>
        <w:ind w:left="783" w:hanging="360"/>
      </w:pPr>
      <w:rPr>
        <w:rFonts w:ascii="Symbol" w:hAnsi="Symbol" w:hint="default"/>
      </w:rPr>
    </w:lvl>
    <w:lvl w:ilvl="1" w:tplc="040C0003" w:tentative="1">
      <w:start w:val="1"/>
      <w:numFmt w:val="bullet"/>
      <w:lvlText w:val="o"/>
      <w:lvlJc w:val="left"/>
      <w:pPr>
        <w:tabs>
          <w:tab w:val="num" w:pos="1503"/>
        </w:tabs>
        <w:ind w:left="1503" w:hanging="360"/>
      </w:pPr>
      <w:rPr>
        <w:rFonts w:ascii="Courier New" w:hAnsi="Courier New" w:cs="Courier New" w:hint="default"/>
      </w:rPr>
    </w:lvl>
    <w:lvl w:ilvl="2" w:tplc="040C0005" w:tentative="1">
      <w:start w:val="1"/>
      <w:numFmt w:val="bullet"/>
      <w:lvlText w:val=""/>
      <w:lvlJc w:val="left"/>
      <w:pPr>
        <w:tabs>
          <w:tab w:val="num" w:pos="2223"/>
        </w:tabs>
        <w:ind w:left="2223" w:hanging="360"/>
      </w:pPr>
      <w:rPr>
        <w:rFonts w:ascii="Wingdings" w:hAnsi="Wingdings" w:hint="default"/>
      </w:rPr>
    </w:lvl>
    <w:lvl w:ilvl="3" w:tplc="040C0001" w:tentative="1">
      <w:start w:val="1"/>
      <w:numFmt w:val="bullet"/>
      <w:lvlText w:val=""/>
      <w:lvlJc w:val="left"/>
      <w:pPr>
        <w:tabs>
          <w:tab w:val="num" w:pos="2943"/>
        </w:tabs>
        <w:ind w:left="2943" w:hanging="360"/>
      </w:pPr>
      <w:rPr>
        <w:rFonts w:ascii="Symbol" w:hAnsi="Symbol" w:hint="default"/>
      </w:rPr>
    </w:lvl>
    <w:lvl w:ilvl="4" w:tplc="040C0003" w:tentative="1">
      <w:start w:val="1"/>
      <w:numFmt w:val="bullet"/>
      <w:lvlText w:val="o"/>
      <w:lvlJc w:val="left"/>
      <w:pPr>
        <w:tabs>
          <w:tab w:val="num" w:pos="3663"/>
        </w:tabs>
        <w:ind w:left="3663" w:hanging="360"/>
      </w:pPr>
      <w:rPr>
        <w:rFonts w:ascii="Courier New" w:hAnsi="Courier New" w:cs="Courier New" w:hint="default"/>
      </w:rPr>
    </w:lvl>
    <w:lvl w:ilvl="5" w:tplc="040C0005" w:tentative="1">
      <w:start w:val="1"/>
      <w:numFmt w:val="bullet"/>
      <w:lvlText w:val=""/>
      <w:lvlJc w:val="left"/>
      <w:pPr>
        <w:tabs>
          <w:tab w:val="num" w:pos="4383"/>
        </w:tabs>
        <w:ind w:left="4383" w:hanging="360"/>
      </w:pPr>
      <w:rPr>
        <w:rFonts w:ascii="Wingdings" w:hAnsi="Wingdings" w:hint="default"/>
      </w:rPr>
    </w:lvl>
    <w:lvl w:ilvl="6" w:tplc="040C0001" w:tentative="1">
      <w:start w:val="1"/>
      <w:numFmt w:val="bullet"/>
      <w:lvlText w:val=""/>
      <w:lvlJc w:val="left"/>
      <w:pPr>
        <w:tabs>
          <w:tab w:val="num" w:pos="5103"/>
        </w:tabs>
        <w:ind w:left="5103" w:hanging="360"/>
      </w:pPr>
      <w:rPr>
        <w:rFonts w:ascii="Symbol" w:hAnsi="Symbol" w:hint="default"/>
      </w:rPr>
    </w:lvl>
    <w:lvl w:ilvl="7" w:tplc="040C0003" w:tentative="1">
      <w:start w:val="1"/>
      <w:numFmt w:val="bullet"/>
      <w:lvlText w:val="o"/>
      <w:lvlJc w:val="left"/>
      <w:pPr>
        <w:tabs>
          <w:tab w:val="num" w:pos="5823"/>
        </w:tabs>
        <w:ind w:left="5823" w:hanging="360"/>
      </w:pPr>
      <w:rPr>
        <w:rFonts w:ascii="Courier New" w:hAnsi="Courier New" w:cs="Courier New" w:hint="default"/>
      </w:rPr>
    </w:lvl>
    <w:lvl w:ilvl="8" w:tplc="040C0005" w:tentative="1">
      <w:start w:val="1"/>
      <w:numFmt w:val="bullet"/>
      <w:lvlText w:val=""/>
      <w:lvlJc w:val="left"/>
      <w:pPr>
        <w:tabs>
          <w:tab w:val="num" w:pos="6543"/>
        </w:tabs>
        <w:ind w:left="6543" w:hanging="360"/>
      </w:pPr>
      <w:rPr>
        <w:rFonts w:ascii="Wingdings" w:hAnsi="Wingdings" w:hint="default"/>
      </w:rPr>
    </w:lvl>
  </w:abstractNum>
  <w:abstractNum w:abstractNumId="22">
    <w:nsid w:val="2112727C"/>
    <w:multiLevelType w:val="hybridMultilevel"/>
    <w:tmpl w:val="88EC64AE"/>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1D46BD4"/>
    <w:multiLevelType w:val="hybridMultilevel"/>
    <w:tmpl w:val="FD28AB18"/>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
    <w:nsid w:val="25C77358"/>
    <w:multiLevelType w:val="hybridMultilevel"/>
    <w:tmpl w:val="A26C9AEE"/>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74C4D60"/>
    <w:multiLevelType w:val="multilevel"/>
    <w:tmpl w:val="BC14CC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289E6947"/>
    <w:multiLevelType w:val="hybridMultilevel"/>
    <w:tmpl w:val="827C6AD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Times New Roman"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Times New Roman" w:hint="default"/>
      </w:rPr>
    </w:lvl>
    <w:lvl w:ilvl="8" w:tplc="080C0005">
      <w:start w:val="1"/>
      <w:numFmt w:val="bullet"/>
      <w:lvlText w:val=""/>
      <w:lvlJc w:val="left"/>
      <w:pPr>
        <w:ind w:left="6480" w:hanging="360"/>
      </w:pPr>
      <w:rPr>
        <w:rFonts w:ascii="Wingdings" w:hAnsi="Wingdings" w:hint="default"/>
      </w:rPr>
    </w:lvl>
  </w:abstractNum>
  <w:abstractNum w:abstractNumId="27">
    <w:nsid w:val="2C8221B0"/>
    <w:multiLevelType w:val="hybridMultilevel"/>
    <w:tmpl w:val="34004C6E"/>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cs="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28">
    <w:nsid w:val="303639B9"/>
    <w:multiLevelType w:val="hybridMultilevel"/>
    <w:tmpl w:val="42B6B5D6"/>
    <w:lvl w:ilvl="0" w:tplc="20F24664">
      <w:start w:val="1"/>
      <w:numFmt w:val="bullet"/>
      <w:lvlText w:val=""/>
      <w:lvlJc w:val="left"/>
      <w:pPr>
        <w:tabs>
          <w:tab w:val="num" w:pos="170"/>
        </w:tabs>
        <w:ind w:left="170" w:hanging="170"/>
      </w:pPr>
      <w:rPr>
        <w:rFonts w:ascii="Symbol" w:hAnsi="Symbol" w:hint="default"/>
        <w:color w:val="auto"/>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9">
    <w:nsid w:val="30CA6DD0"/>
    <w:multiLevelType w:val="hybridMultilevel"/>
    <w:tmpl w:val="079C5D22"/>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1141480"/>
    <w:multiLevelType w:val="hybridMultilevel"/>
    <w:tmpl w:val="239A5416"/>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31">
    <w:nsid w:val="32A11628"/>
    <w:multiLevelType w:val="hybridMultilevel"/>
    <w:tmpl w:val="48205E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nsid w:val="345C67EA"/>
    <w:multiLevelType w:val="hybridMultilevel"/>
    <w:tmpl w:val="B2DC4870"/>
    <w:lvl w:ilvl="0" w:tplc="080C000F">
      <w:start w:val="1"/>
      <w:numFmt w:val="decimal"/>
      <w:lvlText w:val="%1."/>
      <w:lvlJc w:val="left"/>
      <w:pPr>
        <w:ind w:left="2847" w:hanging="360"/>
      </w:pPr>
    </w:lvl>
    <w:lvl w:ilvl="1" w:tplc="080C0019" w:tentative="1">
      <w:start w:val="1"/>
      <w:numFmt w:val="lowerLetter"/>
      <w:lvlText w:val="%2."/>
      <w:lvlJc w:val="left"/>
      <w:pPr>
        <w:ind w:left="3567" w:hanging="360"/>
      </w:pPr>
    </w:lvl>
    <w:lvl w:ilvl="2" w:tplc="080C001B" w:tentative="1">
      <w:start w:val="1"/>
      <w:numFmt w:val="lowerRoman"/>
      <w:lvlText w:val="%3."/>
      <w:lvlJc w:val="right"/>
      <w:pPr>
        <w:ind w:left="4287" w:hanging="180"/>
      </w:pPr>
    </w:lvl>
    <w:lvl w:ilvl="3" w:tplc="080C000F" w:tentative="1">
      <w:start w:val="1"/>
      <w:numFmt w:val="decimal"/>
      <w:lvlText w:val="%4."/>
      <w:lvlJc w:val="left"/>
      <w:pPr>
        <w:ind w:left="5007" w:hanging="360"/>
      </w:pPr>
    </w:lvl>
    <w:lvl w:ilvl="4" w:tplc="080C0019" w:tentative="1">
      <w:start w:val="1"/>
      <w:numFmt w:val="lowerLetter"/>
      <w:lvlText w:val="%5."/>
      <w:lvlJc w:val="left"/>
      <w:pPr>
        <w:ind w:left="5727" w:hanging="360"/>
      </w:pPr>
    </w:lvl>
    <w:lvl w:ilvl="5" w:tplc="080C001B" w:tentative="1">
      <w:start w:val="1"/>
      <w:numFmt w:val="lowerRoman"/>
      <w:lvlText w:val="%6."/>
      <w:lvlJc w:val="right"/>
      <w:pPr>
        <w:ind w:left="6447" w:hanging="180"/>
      </w:pPr>
    </w:lvl>
    <w:lvl w:ilvl="6" w:tplc="080C000F" w:tentative="1">
      <w:start w:val="1"/>
      <w:numFmt w:val="decimal"/>
      <w:lvlText w:val="%7."/>
      <w:lvlJc w:val="left"/>
      <w:pPr>
        <w:ind w:left="7167" w:hanging="360"/>
      </w:pPr>
    </w:lvl>
    <w:lvl w:ilvl="7" w:tplc="080C0019" w:tentative="1">
      <w:start w:val="1"/>
      <w:numFmt w:val="lowerLetter"/>
      <w:lvlText w:val="%8."/>
      <w:lvlJc w:val="left"/>
      <w:pPr>
        <w:ind w:left="7887" w:hanging="360"/>
      </w:pPr>
    </w:lvl>
    <w:lvl w:ilvl="8" w:tplc="080C001B" w:tentative="1">
      <w:start w:val="1"/>
      <w:numFmt w:val="lowerRoman"/>
      <w:lvlText w:val="%9."/>
      <w:lvlJc w:val="right"/>
      <w:pPr>
        <w:ind w:left="8607" w:hanging="180"/>
      </w:pPr>
    </w:lvl>
  </w:abstractNum>
  <w:abstractNum w:abstractNumId="33">
    <w:nsid w:val="39E711AE"/>
    <w:multiLevelType w:val="hybridMultilevel"/>
    <w:tmpl w:val="C374E40E"/>
    <w:lvl w:ilvl="0" w:tplc="080C000F">
      <w:start w:val="1"/>
      <w:numFmt w:val="decimal"/>
      <w:lvlText w:val="%1."/>
      <w:lvlJc w:val="left"/>
      <w:pPr>
        <w:ind w:left="784" w:hanging="360"/>
      </w:pPr>
    </w:lvl>
    <w:lvl w:ilvl="1" w:tplc="080C0019">
      <w:start w:val="1"/>
      <w:numFmt w:val="lowerLetter"/>
      <w:lvlText w:val="%2."/>
      <w:lvlJc w:val="left"/>
      <w:pPr>
        <w:ind w:left="1504" w:hanging="360"/>
      </w:pPr>
    </w:lvl>
    <w:lvl w:ilvl="2" w:tplc="080C001B">
      <w:start w:val="1"/>
      <w:numFmt w:val="lowerRoman"/>
      <w:lvlText w:val="%3."/>
      <w:lvlJc w:val="right"/>
      <w:pPr>
        <w:ind w:left="2224" w:hanging="180"/>
      </w:pPr>
    </w:lvl>
    <w:lvl w:ilvl="3" w:tplc="080C000F" w:tentative="1">
      <w:start w:val="1"/>
      <w:numFmt w:val="decimal"/>
      <w:lvlText w:val="%4."/>
      <w:lvlJc w:val="left"/>
      <w:pPr>
        <w:ind w:left="2944" w:hanging="360"/>
      </w:pPr>
    </w:lvl>
    <w:lvl w:ilvl="4" w:tplc="080C0019" w:tentative="1">
      <w:start w:val="1"/>
      <w:numFmt w:val="lowerLetter"/>
      <w:lvlText w:val="%5."/>
      <w:lvlJc w:val="left"/>
      <w:pPr>
        <w:ind w:left="3664" w:hanging="360"/>
      </w:pPr>
    </w:lvl>
    <w:lvl w:ilvl="5" w:tplc="080C001B" w:tentative="1">
      <w:start w:val="1"/>
      <w:numFmt w:val="lowerRoman"/>
      <w:lvlText w:val="%6."/>
      <w:lvlJc w:val="right"/>
      <w:pPr>
        <w:ind w:left="4384" w:hanging="180"/>
      </w:pPr>
    </w:lvl>
    <w:lvl w:ilvl="6" w:tplc="080C000F" w:tentative="1">
      <w:start w:val="1"/>
      <w:numFmt w:val="decimal"/>
      <w:lvlText w:val="%7."/>
      <w:lvlJc w:val="left"/>
      <w:pPr>
        <w:ind w:left="5104" w:hanging="360"/>
      </w:pPr>
    </w:lvl>
    <w:lvl w:ilvl="7" w:tplc="080C0019" w:tentative="1">
      <w:start w:val="1"/>
      <w:numFmt w:val="lowerLetter"/>
      <w:lvlText w:val="%8."/>
      <w:lvlJc w:val="left"/>
      <w:pPr>
        <w:ind w:left="5824" w:hanging="360"/>
      </w:pPr>
    </w:lvl>
    <w:lvl w:ilvl="8" w:tplc="080C001B" w:tentative="1">
      <w:start w:val="1"/>
      <w:numFmt w:val="lowerRoman"/>
      <w:lvlText w:val="%9."/>
      <w:lvlJc w:val="right"/>
      <w:pPr>
        <w:ind w:left="6544" w:hanging="180"/>
      </w:pPr>
    </w:lvl>
  </w:abstractNum>
  <w:abstractNum w:abstractNumId="34">
    <w:nsid w:val="3A254A4F"/>
    <w:multiLevelType w:val="hybridMultilevel"/>
    <w:tmpl w:val="EF008E90"/>
    <w:lvl w:ilvl="0" w:tplc="040C000F">
      <w:start w:val="1"/>
      <w:numFmt w:val="decimal"/>
      <w:lvlText w:val="%1."/>
      <w:lvlJc w:val="left"/>
      <w:pPr>
        <w:tabs>
          <w:tab w:val="num" w:pos="360"/>
        </w:tabs>
        <w:ind w:left="360" w:hanging="360"/>
      </w:p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35">
    <w:nsid w:val="3C8171ED"/>
    <w:multiLevelType w:val="hybridMultilevel"/>
    <w:tmpl w:val="1D5A5122"/>
    <w:lvl w:ilvl="0" w:tplc="F6F4A7A0">
      <w:start w:val="1"/>
      <w:numFmt w:val="bullet"/>
      <w:lvlText w:val="•"/>
      <w:lvlJc w:val="left"/>
      <w:pPr>
        <w:tabs>
          <w:tab w:val="num" w:pos="360"/>
        </w:tabs>
        <w:ind w:left="360" w:hanging="360"/>
      </w:pPr>
      <w:rPr>
        <w:rFonts w:ascii="Arial" w:hAnsi="Arial" w:cs="Times New Roman" w:hint="default"/>
      </w:rPr>
    </w:lvl>
    <w:lvl w:ilvl="1" w:tplc="13DC4426">
      <w:start w:val="1"/>
      <w:numFmt w:val="bullet"/>
      <w:lvlText w:val="•"/>
      <w:lvlJc w:val="left"/>
      <w:pPr>
        <w:tabs>
          <w:tab w:val="num" w:pos="1080"/>
        </w:tabs>
        <w:ind w:left="1080" w:hanging="360"/>
      </w:pPr>
      <w:rPr>
        <w:rFonts w:ascii="Arial" w:hAnsi="Arial" w:cs="Times New Roman" w:hint="default"/>
      </w:rPr>
    </w:lvl>
    <w:lvl w:ilvl="2" w:tplc="DA3E2FCE">
      <w:start w:val="1"/>
      <w:numFmt w:val="bullet"/>
      <w:lvlText w:val="•"/>
      <w:lvlJc w:val="left"/>
      <w:pPr>
        <w:tabs>
          <w:tab w:val="num" w:pos="1800"/>
        </w:tabs>
        <w:ind w:left="1800" w:hanging="360"/>
      </w:pPr>
      <w:rPr>
        <w:rFonts w:ascii="Arial" w:hAnsi="Arial" w:cs="Times New Roman" w:hint="default"/>
      </w:rPr>
    </w:lvl>
    <w:lvl w:ilvl="3" w:tplc="67A0E2BC">
      <w:start w:val="1"/>
      <w:numFmt w:val="bullet"/>
      <w:lvlText w:val="•"/>
      <w:lvlJc w:val="left"/>
      <w:pPr>
        <w:tabs>
          <w:tab w:val="num" w:pos="2520"/>
        </w:tabs>
        <w:ind w:left="2520" w:hanging="360"/>
      </w:pPr>
      <w:rPr>
        <w:rFonts w:ascii="Arial" w:hAnsi="Arial" w:cs="Times New Roman" w:hint="default"/>
      </w:rPr>
    </w:lvl>
    <w:lvl w:ilvl="4" w:tplc="D7B615B0">
      <w:start w:val="1"/>
      <w:numFmt w:val="bullet"/>
      <w:lvlText w:val="•"/>
      <w:lvlJc w:val="left"/>
      <w:pPr>
        <w:tabs>
          <w:tab w:val="num" w:pos="3240"/>
        </w:tabs>
        <w:ind w:left="3240" w:hanging="360"/>
      </w:pPr>
      <w:rPr>
        <w:rFonts w:ascii="Arial" w:hAnsi="Arial" w:cs="Times New Roman" w:hint="default"/>
      </w:rPr>
    </w:lvl>
    <w:lvl w:ilvl="5" w:tplc="63E8399E">
      <w:start w:val="1"/>
      <w:numFmt w:val="bullet"/>
      <w:lvlText w:val="•"/>
      <w:lvlJc w:val="left"/>
      <w:pPr>
        <w:tabs>
          <w:tab w:val="num" w:pos="3960"/>
        </w:tabs>
        <w:ind w:left="3960" w:hanging="360"/>
      </w:pPr>
      <w:rPr>
        <w:rFonts w:ascii="Arial" w:hAnsi="Arial" w:cs="Times New Roman" w:hint="default"/>
      </w:rPr>
    </w:lvl>
    <w:lvl w:ilvl="6" w:tplc="D974DE50">
      <w:start w:val="1"/>
      <w:numFmt w:val="bullet"/>
      <w:lvlText w:val="•"/>
      <w:lvlJc w:val="left"/>
      <w:pPr>
        <w:tabs>
          <w:tab w:val="num" w:pos="4680"/>
        </w:tabs>
        <w:ind w:left="4680" w:hanging="360"/>
      </w:pPr>
      <w:rPr>
        <w:rFonts w:ascii="Arial" w:hAnsi="Arial" w:cs="Times New Roman" w:hint="default"/>
      </w:rPr>
    </w:lvl>
    <w:lvl w:ilvl="7" w:tplc="30F0E4EA">
      <w:start w:val="1"/>
      <w:numFmt w:val="bullet"/>
      <w:lvlText w:val="•"/>
      <w:lvlJc w:val="left"/>
      <w:pPr>
        <w:tabs>
          <w:tab w:val="num" w:pos="5400"/>
        </w:tabs>
        <w:ind w:left="5400" w:hanging="360"/>
      </w:pPr>
      <w:rPr>
        <w:rFonts w:ascii="Arial" w:hAnsi="Arial" w:cs="Times New Roman" w:hint="default"/>
      </w:rPr>
    </w:lvl>
    <w:lvl w:ilvl="8" w:tplc="63901292">
      <w:start w:val="1"/>
      <w:numFmt w:val="bullet"/>
      <w:lvlText w:val="•"/>
      <w:lvlJc w:val="left"/>
      <w:pPr>
        <w:tabs>
          <w:tab w:val="num" w:pos="6120"/>
        </w:tabs>
        <w:ind w:left="6120" w:hanging="360"/>
      </w:pPr>
      <w:rPr>
        <w:rFonts w:ascii="Arial" w:hAnsi="Arial" w:cs="Times New Roman" w:hint="default"/>
      </w:rPr>
    </w:lvl>
  </w:abstractNum>
  <w:abstractNum w:abstractNumId="36">
    <w:nsid w:val="3E951BA1"/>
    <w:multiLevelType w:val="hybridMultilevel"/>
    <w:tmpl w:val="3B8E01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423E794C"/>
    <w:multiLevelType w:val="hybridMultilevel"/>
    <w:tmpl w:val="FBF0CB4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8">
    <w:nsid w:val="49ED56A6"/>
    <w:multiLevelType w:val="hybridMultilevel"/>
    <w:tmpl w:val="EF089D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B85674B"/>
    <w:multiLevelType w:val="hybridMultilevel"/>
    <w:tmpl w:val="F3D4BAFC"/>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cs="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40">
    <w:nsid w:val="50BD18CE"/>
    <w:multiLevelType w:val="hybridMultilevel"/>
    <w:tmpl w:val="923EE5D4"/>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510A3707"/>
    <w:multiLevelType w:val="multilevel"/>
    <w:tmpl w:val="817C0D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5315202E"/>
    <w:multiLevelType w:val="hybridMultilevel"/>
    <w:tmpl w:val="6B6CAA4A"/>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549B7BCC"/>
    <w:multiLevelType w:val="hybridMultilevel"/>
    <w:tmpl w:val="17EAD8C8"/>
    <w:lvl w:ilvl="0" w:tplc="040C0001">
      <w:start w:val="1"/>
      <w:numFmt w:val="bullet"/>
      <w:lvlText w:val=""/>
      <w:lvlJc w:val="left"/>
      <w:pPr>
        <w:tabs>
          <w:tab w:val="num" w:pos="2138"/>
        </w:tabs>
        <w:ind w:left="2138" w:hanging="360"/>
      </w:pPr>
      <w:rPr>
        <w:rFonts w:ascii="Symbol" w:hAnsi="Symbol"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44">
    <w:nsid w:val="55904C6B"/>
    <w:multiLevelType w:val="multilevel"/>
    <w:tmpl w:val="2C4486C2"/>
    <w:lvl w:ilvl="0">
      <w:numFmt w:val="decimal"/>
      <w:pStyle w:val="Titre1"/>
      <w:lvlText w:val="%1."/>
      <w:lvlJc w:val="left"/>
      <w:pPr>
        <w:tabs>
          <w:tab w:val="num" w:pos="567"/>
        </w:tabs>
        <w:ind w:left="567" w:hanging="567"/>
      </w:pPr>
      <w:rPr>
        <w:rFonts w:hint="default"/>
        <w:lang w:val="fr-BE"/>
      </w:rPr>
    </w:lvl>
    <w:lvl w:ilvl="1">
      <w:start w:val="1"/>
      <w:numFmt w:val="decimal"/>
      <w:pStyle w:val="Titre2"/>
      <w:lvlText w:val="%1.%2."/>
      <w:lvlJc w:val="left"/>
      <w:pPr>
        <w:tabs>
          <w:tab w:val="num" w:pos="567"/>
        </w:tabs>
        <w:ind w:left="851" w:hanging="851"/>
      </w:pPr>
      <w:rPr>
        <w:rFonts w:hint="default"/>
      </w:rPr>
    </w:lvl>
    <w:lvl w:ilvl="2">
      <w:start w:val="1"/>
      <w:numFmt w:val="decimal"/>
      <w:pStyle w:val="Titre3"/>
      <w:lvlText w:val="%1.%2.%3."/>
      <w:lvlJc w:val="left"/>
      <w:pPr>
        <w:tabs>
          <w:tab w:val="num" w:pos="0"/>
        </w:tabs>
        <w:ind w:left="1134" w:hanging="1134"/>
      </w:pPr>
      <w:rPr>
        <w:rFonts w:hint="default"/>
      </w:rPr>
    </w:lvl>
    <w:lvl w:ilvl="3">
      <w:start w:val="1"/>
      <w:numFmt w:val="decimal"/>
      <w:pStyle w:val="Titre4"/>
      <w:lvlText w:val="%1.%2.%3.%4."/>
      <w:lvlJc w:val="left"/>
      <w:pPr>
        <w:tabs>
          <w:tab w:val="num" w:pos="0"/>
        </w:tabs>
        <w:ind w:left="1474" w:hanging="147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5">
    <w:nsid w:val="56164B02"/>
    <w:multiLevelType w:val="hybridMultilevel"/>
    <w:tmpl w:val="AFE0C2B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57B75848"/>
    <w:multiLevelType w:val="hybridMultilevel"/>
    <w:tmpl w:val="0430E94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7">
    <w:nsid w:val="58917767"/>
    <w:multiLevelType w:val="hybridMultilevel"/>
    <w:tmpl w:val="E4A8933A"/>
    <w:lvl w:ilvl="0" w:tplc="DB90DBEC">
      <w:start w:val="1"/>
      <w:numFmt w:val="bullet"/>
      <w:lvlText w:val="●"/>
      <w:lvlJc w:val="left"/>
      <w:pPr>
        <w:tabs>
          <w:tab w:val="num" w:pos="360"/>
        </w:tabs>
        <w:ind w:left="360"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58BC6BC4"/>
    <w:multiLevelType w:val="hybridMultilevel"/>
    <w:tmpl w:val="B8CA8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94F7F83"/>
    <w:multiLevelType w:val="hybridMultilevel"/>
    <w:tmpl w:val="CA8AC8D8"/>
    <w:lvl w:ilvl="0" w:tplc="0C48A4FC">
      <w:start w:val="1"/>
      <w:numFmt w:val="lowerLetter"/>
      <w:lvlText w:val="%1)"/>
      <w:lvlJc w:val="left"/>
      <w:pPr>
        <w:ind w:left="1200" w:hanging="360"/>
      </w:pPr>
    </w:lvl>
    <w:lvl w:ilvl="1" w:tplc="080C0019">
      <w:start w:val="1"/>
      <w:numFmt w:val="lowerLetter"/>
      <w:lvlText w:val="%2."/>
      <w:lvlJc w:val="left"/>
      <w:pPr>
        <w:ind w:left="1920" w:hanging="360"/>
      </w:pPr>
    </w:lvl>
    <w:lvl w:ilvl="2" w:tplc="080C001B">
      <w:start w:val="1"/>
      <w:numFmt w:val="lowerRoman"/>
      <w:lvlText w:val="%3."/>
      <w:lvlJc w:val="right"/>
      <w:pPr>
        <w:ind w:left="2640" w:hanging="180"/>
      </w:pPr>
    </w:lvl>
    <w:lvl w:ilvl="3" w:tplc="080C000F">
      <w:start w:val="1"/>
      <w:numFmt w:val="decimal"/>
      <w:lvlText w:val="%4."/>
      <w:lvlJc w:val="left"/>
      <w:pPr>
        <w:ind w:left="3360" w:hanging="360"/>
      </w:pPr>
    </w:lvl>
    <w:lvl w:ilvl="4" w:tplc="080C0019">
      <w:start w:val="1"/>
      <w:numFmt w:val="lowerLetter"/>
      <w:lvlText w:val="%5."/>
      <w:lvlJc w:val="left"/>
      <w:pPr>
        <w:ind w:left="4080" w:hanging="360"/>
      </w:pPr>
    </w:lvl>
    <w:lvl w:ilvl="5" w:tplc="080C001B">
      <w:start w:val="1"/>
      <w:numFmt w:val="lowerRoman"/>
      <w:lvlText w:val="%6."/>
      <w:lvlJc w:val="right"/>
      <w:pPr>
        <w:ind w:left="4800" w:hanging="180"/>
      </w:pPr>
    </w:lvl>
    <w:lvl w:ilvl="6" w:tplc="080C000F">
      <w:start w:val="1"/>
      <w:numFmt w:val="decimal"/>
      <w:lvlText w:val="%7."/>
      <w:lvlJc w:val="left"/>
      <w:pPr>
        <w:ind w:left="5520" w:hanging="360"/>
      </w:pPr>
    </w:lvl>
    <w:lvl w:ilvl="7" w:tplc="080C0019">
      <w:start w:val="1"/>
      <w:numFmt w:val="lowerLetter"/>
      <w:lvlText w:val="%8."/>
      <w:lvlJc w:val="left"/>
      <w:pPr>
        <w:ind w:left="6240" w:hanging="360"/>
      </w:pPr>
    </w:lvl>
    <w:lvl w:ilvl="8" w:tplc="080C001B">
      <w:start w:val="1"/>
      <w:numFmt w:val="lowerRoman"/>
      <w:lvlText w:val="%9."/>
      <w:lvlJc w:val="right"/>
      <w:pPr>
        <w:ind w:left="6960" w:hanging="180"/>
      </w:pPr>
    </w:lvl>
  </w:abstractNum>
  <w:abstractNum w:abstractNumId="50">
    <w:nsid w:val="59EB652D"/>
    <w:multiLevelType w:val="hybridMultilevel"/>
    <w:tmpl w:val="76286BD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1">
    <w:nsid w:val="5C137C99"/>
    <w:multiLevelType w:val="hybridMultilevel"/>
    <w:tmpl w:val="875C58F6"/>
    <w:lvl w:ilvl="0" w:tplc="040C0001">
      <w:start w:val="1"/>
      <w:numFmt w:val="bullet"/>
      <w:lvlText w:val=""/>
      <w:lvlJc w:val="left"/>
      <w:pPr>
        <w:tabs>
          <w:tab w:val="num" w:pos="2138"/>
        </w:tabs>
        <w:ind w:left="2138" w:hanging="360"/>
      </w:pPr>
      <w:rPr>
        <w:rFonts w:ascii="Symbol" w:hAnsi="Symbol"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52">
    <w:nsid w:val="5CD10B89"/>
    <w:multiLevelType w:val="multilevel"/>
    <w:tmpl w:val="BCF6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E454AF3"/>
    <w:multiLevelType w:val="hybridMultilevel"/>
    <w:tmpl w:val="4796D312"/>
    <w:lvl w:ilvl="0" w:tplc="F43098A6">
      <w:start w:val="17"/>
      <w:numFmt w:val="bullet"/>
      <w:lvlText w:val=""/>
      <w:lvlJc w:val="left"/>
      <w:pPr>
        <w:tabs>
          <w:tab w:val="num" w:pos="970"/>
        </w:tabs>
        <w:ind w:left="970" w:hanging="360"/>
      </w:pPr>
      <w:rPr>
        <w:rFonts w:ascii="Wingdings" w:eastAsia="Times New Roman" w:hAnsi="Wingdings" w:cs="Times New Roman" w:hint="default"/>
      </w:rPr>
    </w:lvl>
    <w:lvl w:ilvl="1" w:tplc="040C0003" w:tentative="1">
      <w:start w:val="1"/>
      <w:numFmt w:val="bullet"/>
      <w:lvlText w:val="o"/>
      <w:lvlJc w:val="left"/>
      <w:pPr>
        <w:tabs>
          <w:tab w:val="num" w:pos="1690"/>
        </w:tabs>
        <w:ind w:left="1690" w:hanging="360"/>
      </w:pPr>
      <w:rPr>
        <w:rFonts w:ascii="Courier New" w:hAnsi="Courier New" w:cs="Courier New" w:hint="default"/>
      </w:rPr>
    </w:lvl>
    <w:lvl w:ilvl="2" w:tplc="040C0005" w:tentative="1">
      <w:start w:val="1"/>
      <w:numFmt w:val="bullet"/>
      <w:lvlText w:val=""/>
      <w:lvlJc w:val="left"/>
      <w:pPr>
        <w:tabs>
          <w:tab w:val="num" w:pos="2410"/>
        </w:tabs>
        <w:ind w:left="2410" w:hanging="360"/>
      </w:pPr>
      <w:rPr>
        <w:rFonts w:ascii="Wingdings" w:hAnsi="Wingdings" w:hint="default"/>
      </w:rPr>
    </w:lvl>
    <w:lvl w:ilvl="3" w:tplc="040C0001" w:tentative="1">
      <w:start w:val="1"/>
      <w:numFmt w:val="bullet"/>
      <w:lvlText w:val=""/>
      <w:lvlJc w:val="left"/>
      <w:pPr>
        <w:tabs>
          <w:tab w:val="num" w:pos="3130"/>
        </w:tabs>
        <w:ind w:left="3130" w:hanging="360"/>
      </w:pPr>
      <w:rPr>
        <w:rFonts w:ascii="Symbol" w:hAnsi="Symbol" w:hint="default"/>
      </w:rPr>
    </w:lvl>
    <w:lvl w:ilvl="4" w:tplc="040C0003" w:tentative="1">
      <w:start w:val="1"/>
      <w:numFmt w:val="bullet"/>
      <w:lvlText w:val="o"/>
      <w:lvlJc w:val="left"/>
      <w:pPr>
        <w:tabs>
          <w:tab w:val="num" w:pos="3850"/>
        </w:tabs>
        <w:ind w:left="3850" w:hanging="360"/>
      </w:pPr>
      <w:rPr>
        <w:rFonts w:ascii="Courier New" w:hAnsi="Courier New" w:cs="Courier New" w:hint="default"/>
      </w:rPr>
    </w:lvl>
    <w:lvl w:ilvl="5" w:tplc="040C0005" w:tentative="1">
      <w:start w:val="1"/>
      <w:numFmt w:val="bullet"/>
      <w:lvlText w:val=""/>
      <w:lvlJc w:val="left"/>
      <w:pPr>
        <w:tabs>
          <w:tab w:val="num" w:pos="4570"/>
        </w:tabs>
        <w:ind w:left="4570" w:hanging="360"/>
      </w:pPr>
      <w:rPr>
        <w:rFonts w:ascii="Wingdings" w:hAnsi="Wingdings" w:hint="default"/>
      </w:rPr>
    </w:lvl>
    <w:lvl w:ilvl="6" w:tplc="040C0001" w:tentative="1">
      <w:start w:val="1"/>
      <w:numFmt w:val="bullet"/>
      <w:lvlText w:val=""/>
      <w:lvlJc w:val="left"/>
      <w:pPr>
        <w:tabs>
          <w:tab w:val="num" w:pos="5290"/>
        </w:tabs>
        <w:ind w:left="5290" w:hanging="360"/>
      </w:pPr>
      <w:rPr>
        <w:rFonts w:ascii="Symbol" w:hAnsi="Symbol" w:hint="default"/>
      </w:rPr>
    </w:lvl>
    <w:lvl w:ilvl="7" w:tplc="040C0003" w:tentative="1">
      <w:start w:val="1"/>
      <w:numFmt w:val="bullet"/>
      <w:lvlText w:val="o"/>
      <w:lvlJc w:val="left"/>
      <w:pPr>
        <w:tabs>
          <w:tab w:val="num" w:pos="6010"/>
        </w:tabs>
        <w:ind w:left="6010" w:hanging="360"/>
      </w:pPr>
      <w:rPr>
        <w:rFonts w:ascii="Courier New" w:hAnsi="Courier New" w:cs="Courier New" w:hint="default"/>
      </w:rPr>
    </w:lvl>
    <w:lvl w:ilvl="8" w:tplc="040C0005" w:tentative="1">
      <w:start w:val="1"/>
      <w:numFmt w:val="bullet"/>
      <w:lvlText w:val=""/>
      <w:lvlJc w:val="left"/>
      <w:pPr>
        <w:tabs>
          <w:tab w:val="num" w:pos="6730"/>
        </w:tabs>
        <w:ind w:left="6730" w:hanging="360"/>
      </w:pPr>
      <w:rPr>
        <w:rFonts w:ascii="Wingdings" w:hAnsi="Wingdings" w:hint="default"/>
      </w:rPr>
    </w:lvl>
  </w:abstractNum>
  <w:abstractNum w:abstractNumId="54">
    <w:nsid w:val="5F050D71"/>
    <w:multiLevelType w:val="hybridMultilevel"/>
    <w:tmpl w:val="905EFB2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
    <w:nsid w:val="5F340B93"/>
    <w:multiLevelType w:val="hybridMultilevel"/>
    <w:tmpl w:val="7814064E"/>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6">
    <w:nsid w:val="602F3477"/>
    <w:multiLevelType w:val="hybridMultilevel"/>
    <w:tmpl w:val="F3B61E80"/>
    <w:lvl w:ilvl="0" w:tplc="080C000F">
      <w:start w:val="1"/>
      <w:numFmt w:val="decimal"/>
      <w:lvlText w:val="%1."/>
      <w:lvlJc w:val="left"/>
      <w:pPr>
        <w:ind w:left="-351" w:hanging="360"/>
      </w:pPr>
    </w:lvl>
    <w:lvl w:ilvl="1" w:tplc="080C0019" w:tentative="1">
      <w:start w:val="1"/>
      <w:numFmt w:val="lowerLetter"/>
      <w:lvlText w:val="%2."/>
      <w:lvlJc w:val="left"/>
      <w:pPr>
        <w:ind w:left="369" w:hanging="360"/>
      </w:pPr>
    </w:lvl>
    <w:lvl w:ilvl="2" w:tplc="080C001B" w:tentative="1">
      <w:start w:val="1"/>
      <w:numFmt w:val="lowerRoman"/>
      <w:lvlText w:val="%3."/>
      <w:lvlJc w:val="right"/>
      <w:pPr>
        <w:ind w:left="1089" w:hanging="180"/>
      </w:pPr>
    </w:lvl>
    <w:lvl w:ilvl="3" w:tplc="080C000F" w:tentative="1">
      <w:start w:val="1"/>
      <w:numFmt w:val="decimal"/>
      <w:lvlText w:val="%4."/>
      <w:lvlJc w:val="left"/>
      <w:pPr>
        <w:ind w:left="1809" w:hanging="360"/>
      </w:pPr>
    </w:lvl>
    <w:lvl w:ilvl="4" w:tplc="080C0019" w:tentative="1">
      <w:start w:val="1"/>
      <w:numFmt w:val="lowerLetter"/>
      <w:lvlText w:val="%5."/>
      <w:lvlJc w:val="left"/>
      <w:pPr>
        <w:ind w:left="2529" w:hanging="360"/>
      </w:pPr>
    </w:lvl>
    <w:lvl w:ilvl="5" w:tplc="080C001B" w:tentative="1">
      <w:start w:val="1"/>
      <w:numFmt w:val="lowerRoman"/>
      <w:lvlText w:val="%6."/>
      <w:lvlJc w:val="right"/>
      <w:pPr>
        <w:ind w:left="3249" w:hanging="180"/>
      </w:pPr>
    </w:lvl>
    <w:lvl w:ilvl="6" w:tplc="080C000F" w:tentative="1">
      <w:start w:val="1"/>
      <w:numFmt w:val="decimal"/>
      <w:lvlText w:val="%7."/>
      <w:lvlJc w:val="left"/>
      <w:pPr>
        <w:ind w:left="3969" w:hanging="360"/>
      </w:pPr>
    </w:lvl>
    <w:lvl w:ilvl="7" w:tplc="080C0019" w:tentative="1">
      <w:start w:val="1"/>
      <w:numFmt w:val="lowerLetter"/>
      <w:lvlText w:val="%8."/>
      <w:lvlJc w:val="left"/>
      <w:pPr>
        <w:ind w:left="4689" w:hanging="360"/>
      </w:pPr>
    </w:lvl>
    <w:lvl w:ilvl="8" w:tplc="080C001B" w:tentative="1">
      <w:start w:val="1"/>
      <w:numFmt w:val="lowerRoman"/>
      <w:lvlText w:val="%9."/>
      <w:lvlJc w:val="right"/>
      <w:pPr>
        <w:ind w:left="5409" w:hanging="180"/>
      </w:pPr>
    </w:lvl>
  </w:abstractNum>
  <w:abstractNum w:abstractNumId="57">
    <w:nsid w:val="62825BC5"/>
    <w:multiLevelType w:val="hybridMultilevel"/>
    <w:tmpl w:val="7DF8020C"/>
    <w:lvl w:ilvl="0" w:tplc="F43098A6">
      <w:start w:val="17"/>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67B857C4"/>
    <w:multiLevelType w:val="hybridMultilevel"/>
    <w:tmpl w:val="A41071CA"/>
    <w:lvl w:ilvl="0" w:tplc="8160D02C">
      <w:start w:val="1"/>
      <w:numFmt w:val="decimal"/>
      <w:lvlText w:val="%1."/>
      <w:lvlJc w:val="left"/>
      <w:pPr>
        <w:ind w:left="360" w:hanging="360"/>
      </w:pPr>
      <w:rPr>
        <w:rFonts w:hint="default"/>
      </w:rPr>
    </w:lvl>
    <w:lvl w:ilvl="1" w:tplc="080C0019" w:tentative="1">
      <w:start w:val="1"/>
      <w:numFmt w:val="lowerLetter"/>
      <w:lvlText w:val="%2."/>
      <w:lvlJc w:val="left"/>
      <w:pPr>
        <w:ind w:left="1016" w:hanging="360"/>
      </w:pPr>
    </w:lvl>
    <w:lvl w:ilvl="2" w:tplc="080C001B" w:tentative="1">
      <w:start w:val="1"/>
      <w:numFmt w:val="lowerRoman"/>
      <w:lvlText w:val="%3."/>
      <w:lvlJc w:val="right"/>
      <w:pPr>
        <w:ind w:left="1736" w:hanging="180"/>
      </w:pPr>
    </w:lvl>
    <w:lvl w:ilvl="3" w:tplc="080C000F" w:tentative="1">
      <w:start w:val="1"/>
      <w:numFmt w:val="decimal"/>
      <w:lvlText w:val="%4."/>
      <w:lvlJc w:val="left"/>
      <w:pPr>
        <w:ind w:left="2456" w:hanging="360"/>
      </w:pPr>
    </w:lvl>
    <w:lvl w:ilvl="4" w:tplc="080C0019" w:tentative="1">
      <w:start w:val="1"/>
      <w:numFmt w:val="lowerLetter"/>
      <w:lvlText w:val="%5."/>
      <w:lvlJc w:val="left"/>
      <w:pPr>
        <w:ind w:left="3176" w:hanging="360"/>
      </w:pPr>
    </w:lvl>
    <w:lvl w:ilvl="5" w:tplc="080C001B" w:tentative="1">
      <w:start w:val="1"/>
      <w:numFmt w:val="lowerRoman"/>
      <w:lvlText w:val="%6."/>
      <w:lvlJc w:val="right"/>
      <w:pPr>
        <w:ind w:left="3896" w:hanging="180"/>
      </w:pPr>
    </w:lvl>
    <w:lvl w:ilvl="6" w:tplc="080C000F" w:tentative="1">
      <w:start w:val="1"/>
      <w:numFmt w:val="decimal"/>
      <w:lvlText w:val="%7."/>
      <w:lvlJc w:val="left"/>
      <w:pPr>
        <w:ind w:left="4616" w:hanging="360"/>
      </w:pPr>
    </w:lvl>
    <w:lvl w:ilvl="7" w:tplc="080C0019" w:tentative="1">
      <w:start w:val="1"/>
      <w:numFmt w:val="lowerLetter"/>
      <w:lvlText w:val="%8."/>
      <w:lvlJc w:val="left"/>
      <w:pPr>
        <w:ind w:left="5336" w:hanging="360"/>
      </w:pPr>
    </w:lvl>
    <w:lvl w:ilvl="8" w:tplc="080C001B" w:tentative="1">
      <w:start w:val="1"/>
      <w:numFmt w:val="lowerRoman"/>
      <w:lvlText w:val="%9."/>
      <w:lvlJc w:val="right"/>
      <w:pPr>
        <w:ind w:left="6056" w:hanging="180"/>
      </w:pPr>
    </w:lvl>
  </w:abstractNum>
  <w:abstractNum w:abstractNumId="59">
    <w:nsid w:val="67E17A3A"/>
    <w:multiLevelType w:val="hybridMultilevel"/>
    <w:tmpl w:val="32FEC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80439F0"/>
    <w:multiLevelType w:val="hybridMultilevel"/>
    <w:tmpl w:val="E1EA815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1">
    <w:nsid w:val="692C1C32"/>
    <w:multiLevelType w:val="hybridMultilevel"/>
    <w:tmpl w:val="BB7E6FB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2">
    <w:nsid w:val="6A5206E4"/>
    <w:multiLevelType w:val="hybridMultilevel"/>
    <w:tmpl w:val="94FCEAC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3">
    <w:nsid w:val="71BD21A2"/>
    <w:multiLevelType w:val="hybridMultilevel"/>
    <w:tmpl w:val="15EA3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63D63B0"/>
    <w:multiLevelType w:val="hybridMultilevel"/>
    <w:tmpl w:val="58AEA75C"/>
    <w:lvl w:ilvl="0" w:tplc="97A0631A">
      <w:numFmt w:val="bullet"/>
      <w:lvlText w:val="-"/>
      <w:lvlJc w:val="left"/>
      <w:pPr>
        <w:ind w:left="36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7E9685C"/>
    <w:multiLevelType w:val="hybridMultilevel"/>
    <w:tmpl w:val="B4CEB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9465382"/>
    <w:multiLevelType w:val="hybridMultilevel"/>
    <w:tmpl w:val="D24421B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7">
    <w:nsid w:val="7C6B681A"/>
    <w:multiLevelType w:val="hybridMultilevel"/>
    <w:tmpl w:val="E51865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8">
    <w:nsid w:val="7D8B1DEE"/>
    <w:multiLevelType w:val="hybridMultilevel"/>
    <w:tmpl w:val="B3FEBD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7E9D2BDB"/>
    <w:multiLevelType w:val="hybridMultilevel"/>
    <w:tmpl w:val="47A282F2"/>
    <w:lvl w:ilvl="0" w:tplc="2786B924">
      <w:start w:val="1"/>
      <w:numFmt w:val="decimal"/>
      <w:lvlText w:val="%1."/>
      <w:lvlJc w:val="left"/>
      <w:pPr>
        <w:tabs>
          <w:tab w:val="num" w:pos="2123"/>
        </w:tabs>
        <w:ind w:left="2123" w:hanging="705"/>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num w:numId="1">
    <w:abstractNumId w:val="44"/>
  </w:num>
  <w:num w:numId="2">
    <w:abstractNumId w:val="44"/>
  </w:num>
  <w:num w:numId="3">
    <w:abstractNumId w:val="28"/>
  </w:num>
  <w:num w:numId="4">
    <w:abstractNumId w:val="23"/>
  </w:num>
  <w:num w:numId="5">
    <w:abstractNumId w:val="62"/>
  </w:num>
  <w:num w:numId="6">
    <w:abstractNumId w:val="61"/>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56"/>
  </w:num>
  <w:num w:numId="18">
    <w:abstractNumId w:val="60"/>
  </w:num>
  <w:num w:numId="19">
    <w:abstractNumId w:val="24"/>
  </w:num>
  <w:num w:numId="20">
    <w:abstractNumId w:val="10"/>
  </w:num>
  <w:num w:numId="21">
    <w:abstractNumId w:val="47"/>
  </w:num>
  <w:num w:numId="22">
    <w:abstractNumId w:val="40"/>
  </w:num>
  <w:num w:numId="23">
    <w:abstractNumId w:val="69"/>
  </w:num>
  <w:num w:numId="24">
    <w:abstractNumId w:val="51"/>
  </w:num>
  <w:num w:numId="25">
    <w:abstractNumId w:val="43"/>
  </w:num>
  <w:num w:numId="26">
    <w:abstractNumId w:val="39"/>
  </w:num>
  <w:num w:numId="27">
    <w:abstractNumId w:val="27"/>
  </w:num>
  <w:num w:numId="28">
    <w:abstractNumId w:val="32"/>
  </w:num>
  <w:num w:numId="29">
    <w:abstractNumId w:val="17"/>
  </w:num>
  <w:num w:numId="30">
    <w:abstractNumId w:val="42"/>
  </w:num>
  <w:num w:numId="31">
    <w:abstractNumId w:val="29"/>
  </w:num>
  <w:num w:numId="32">
    <w:abstractNumId w:val="22"/>
  </w:num>
  <w:num w:numId="33">
    <w:abstractNumId w:val="38"/>
  </w:num>
  <w:num w:numId="34">
    <w:abstractNumId w:val="20"/>
  </w:num>
  <w:num w:numId="35">
    <w:abstractNumId w:val="63"/>
  </w:num>
  <w:num w:numId="36">
    <w:abstractNumId w:val="65"/>
  </w:num>
  <w:num w:numId="37">
    <w:abstractNumId w:val="48"/>
  </w:num>
  <w:num w:numId="38">
    <w:abstractNumId w:val="59"/>
  </w:num>
  <w:num w:numId="39">
    <w:abstractNumId w:val="11"/>
  </w:num>
  <w:num w:numId="40">
    <w:abstractNumId w:val="36"/>
  </w:num>
  <w:num w:numId="41">
    <w:abstractNumId w:val="41"/>
  </w:num>
  <w:num w:numId="42">
    <w:abstractNumId w:val="45"/>
  </w:num>
  <w:num w:numId="43">
    <w:abstractNumId w:val="21"/>
  </w:num>
  <w:num w:numId="44">
    <w:abstractNumId w:val="57"/>
  </w:num>
  <w:num w:numId="45">
    <w:abstractNumId w:val="53"/>
  </w:num>
  <w:num w:numId="46">
    <w:abstractNumId w:val="13"/>
  </w:num>
  <w:num w:numId="47">
    <w:abstractNumId w:val="33"/>
  </w:num>
  <w:num w:numId="48">
    <w:abstractNumId w:val="58"/>
  </w:num>
  <w:num w:numId="49">
    <w:abstractNumId w:val="25"/>
  </w:num>
  <w:num w:numId="50">
    <w:abstractNumId w:val="14"/>
  </w:num>
  <w:num w:numId="51">
    <w:abstractNumId w:val="66"/>
  </w:num>
  <w:num w:numId="52">
    <w:abstractNumId w:val="16"/>
  </w:num>
  <w:num w:numId="53">
    <w:abstractNumId w:val="55"/>
  </w:num>
  <w:num w:numId="54">
    <w:abstractNumId w:val="52"/>
  </w:num>
  <w:num w:numId="55">
    <w:abstractNumId w:val="64"/>
  </w:num>
  <w:num w:numId="56">
    <w:abstractNumId w:val="35"/>
  </w:num>
  <w:num w:numId="57">
    <w:abstractNumId w:val="46"/>
  </w:num>
  <w:num w:numId="58">
    <w:abstractNumId w:val="15"/>
  </w:num>
  <w:num w:numId="59">
    <w:abstractNumId w:val="67"/>
  </w:num>
  <w:num w:numId="60">
    <w:abstractNumId w:val="37"/>
  </w:num>
  <w:num w:numId="61">
    <w:abstractNumId w:val="19"/>
  </w:num>
  <w:num w:numId="62">
    <w:abstractNumId w:val="30"/>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num>
  <w:num w:numId="65">
    <w:abstractNumId w:val="18"/>
  </w:num>
  <w:num w:numId="6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num>
  <w:num w:numId="68">
    <w:abstractNumId w:val="50"/>
  </w:num>
  <w:num w:numId="69">
    <w:abstractNumId w:val="31"/>
  </w:num>
  <w:num w:numId="70">
    <w:abstractNumId w:val="34"/>
  </w:num>
  <w:num w:numId="71">
    <w:abstractNumId w:val="44"/>
  </w:num>
  <w:num w:numId="72">
    <w:abstractNumId w:val="54"/>
  </w:num>
  <w:num w:numId="73">
    <w:abstractNumId w:val="6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74"/>
    <w:rsid w:val="000120CD"/>
    <w:rsid w:val="00017714"/>
    <w:rsid w:val="00017FA1"/>
    <w:rsid w:val="00021651"/>
    <w:rsid w:val="00025CCE"/>
    <w:rsid w:val="00027A02"/>
    <w:rsid w:val="00032757"/>
    <w:rsid w:val="0003649A"/>
    <w:rsid w:val="000507FE"/>
    <w:rsid w:val="000521EE"/>
    <w:rsid w:val="00053026"/>
    <w:rsid w:val="000534A0"/>
    <w:rsid w:val="0005457C"/>
    <w:rsid w:val="00054D8B"/>
    <w:rsid w:val="00057A86"/>
    <w:rsid w:val="00060333"/>
    <w:rsid w:val="000735CC"/>
    <w:rsid w:val="000777AC"/>
    <w:rsid w:val="00083DD8"/>
    <w:rsid w:val="000947B6"/>
    <w:rsid w:val="00094E5C"/>
    <w:rsid w:val="000A5C66"/>
    <w:rsid w:val="000B1121"/>
    <w:rsid w:val="000B1169"/>
    <w:rsid w:val="000B4E24"/>
    <w:rsid w:val="000C77FC"/>
    <w:rsid w:val="000D527E"/>
    <w:rsid w:val="000D6808"/>
    <w:rsid w:val="000E4BDC"/>
    <w:rsid w:val="000E64B7"/>
    <w:rsid w:val="000F0944"/>
    <w:rsid w:val="000F3C96"/>
    <w:rsid w:val="00102E6A"/>
    <w:rsid w:val="00105A84"/>
    <w:rsid w:val="001156C3"/>
    <w:rsid w:val="0011720E"/>
    <w:rsid w:val="00125476"/>
    <w:rsid w:val="00127E61"/>
    <w:rsid w:val="00130E50"/>
    <w:rsid w:val="001404E1"/>
    <w:rsid w:val="0014056D"/>
    <w:rsid w:val="00144060"/>
    <w:rsid w:val="00152AE7"/>
    <w:rsid w:val="00153A8E"/>
    <w:rsid w:val="0015643D"/>
    <w:rsid w:val="00156C44"/>
    <w:rsid w:val="00160C14"/>
    <w:rsid w:val="00165B0F"/>
    <w:rsid w:val="001716D2"/>
    <w:rsid w:val="00174C85"/>
    <w:rsid w:val="0017641A"/>
    <w:rsid w:val="001764EB"/>
    <w:rsid w:val="0018347A"/>
    <w:rsid w:val="00190EBC"/>
    <w:rsid w:val="00193D2A"/>
    <w:rsid w:val="00196F68"/>
    <w:rsid w:val="001A0140"/>
    <w:rsid w:val="001B4BD3"/>
    <w:rsid w:val="001C756E"/>
    <w:rsid w:val="001D199B"/>
    <w:rsid w:val="001E42F5"/>
    <w:rsid w:val="001E70CC"/>
    <w:rsid w:val="001E7A47"/>
    <w:rsid w:val="001F17AC"/>
    <w:rsid w:val="001F349C"/>
    <w:rsid w:val="001F7D23"/>
    <w:rsid w:val="00200FB4"/>
    <w:rsid w:val="00202EF2"/>
    <w:rsid w:val="002042EA"/>
    <w:rsid w:val="0020516F"/>
    <w:rsid w:val="0021355F"/>
    <w:rsid w:val="00214EE8"/>
    <w:rsid w:val="00215E70"/>
    <w:rsid w:val="00222A50"/>
    <w:rsid w:val="00223317"/>
    <w:rsid w:val="00223A32"/>
    <w:rsid w:val="00224B27"/>
    <w:rsid w:val="00225297"/>
    <w:rsid w:val="002432FF"/>
    <w:rsid w:val="00244308"/>
    <w:rsid w:val="00247BFF"/>
    <w:rsid w:val="00257F72"/>
    <w:rsid w:val="00266865"/>
    <w:rsid w:val="00267953"/>
    <w:rsid w:val="00277AC8"/>
    <w:rsid w:val="00283F35"/>
    <w:rsid w:val="00285FD0"/>
    <w:rsid w:val="0029086D"/>
    <w:rsid w:val="0029329D"/>
    <w:rsid w:val="002A1E56"/>
    <w:rsid w:val="002A3AEF"/>
    <w:rsid w:val="002A735A"/>
    <w:rsid w:val="002B3B4A"/>
    <w:rsid w:val="002B45E3"/>
    <w:rsid w:val="002B5597"/>
    <w:rsid w:val="002C2730"/>
    <w:rsid w:val="002D194F"/>
    <w:rsid w:val="002E2786"/>
    <w:rsid w:val="002E3438"/>
    <w:rsid w:val="002F4E35"/>
    <w:rsid w:val="00304BB1"/>
    <w:rsid w:val="00316A89"/>
    <w:rsid w:val="00321200"/>
    <w:rsid w:val="00321A18"/>
    <w:rsid w:val="003271E1"/>
    <w:rsid w:val="00335053"/>
    <w:rsid w:val="0033587F"/>
    <w:rsid w:val="0034113F"/>
    <w:rsid w:val="00345236"/>
    <w:rsid w:val="00354442"/>
    <w:rsid w:val="00357B4A"/>
    <w:rsid w:val="00364F89"/>
    <w:rsid w:val="00367E94"/>
    <w:rsid w:val="00371017"/>
    <w:rsid w:val="00377906"/>
    <w:rsid w:val="00380262"/>
    <w:rsid w:val="003840E2"/>
    <w:rsid w:val="00385AF9"/>
    <w:rsid w:val="00393664"/>
    <w:rsid w:val="003A27CD"/>
    <w:rsid w:val="003B0810"/>
    <w:rsid w:val="003B08A7"/>
    <w:rsid w:val="003B2CEE"/>
    <w:rsid w:val="003B7C46"/>
    <w:rsid w:val="003C0825"/>
    <w:rsid w:val="003D48A7"/>
    <w:rsid w:val="003D56E2"/>
    <w:rsid w:val="003E3264"/>
    <w:rsid w:val="003E32B6"/>
    <w:rsid w:val="003E4B52"/>
    <w:rsid w:val="003E6211"/>
    <w:rsid w:val="003F0885"/>
    <w:rsid w:val="003F1121"/>
    <w:rsid w:val="003F2870"/>
    <w:rsid w:val="003F28ED"/>
    <w:rsid w:val="003F3E97"/>
    <w:rsid w:val="003F6A39"/>
    <w:rsid w:val="003F7320"/>
    <w:rsid w:val="00402DB8"/>
    <w:rsid w:val="00405D7F"/>
    <w:rsid w:val="00406455"/>
    <w:rsid w:val="00406CE3"/>
    <w:rsid w:val="004108BB"/>
    <w:rsid w:val="00412EC1"/>
    <w:rsid w:val="0041495B"/>
    <w:rsid w:val="00415655"/>
    <w:rsid w:val="004214B7"/>
    <w:rsid w:val="00431852"/>
    <w:rsid w:val="00432CBE"/>
    <w:rsid w:val="00435230"/>
    <w:rsid w:val="0043580B"/>
    <w:rsid w:val="00440050"/>
    <w:rsid w:val="00442DAC"/>
    <w:rsid w:val="0044361C"/>
    <w:rsid w:val="004438E0"/>
    <w:rsid w:val="004455AC"/>
    <w:rsid w:val="00446806"/>
    <w:rsid w:val="00451727"/>
    <w:rsid w:val="00460FB6"/>
    <w:rsid w:val="00462129"/>
    <w:rsid w:val="004663F9"/>
    <w:rsid w:val="004824F2"/>
    <w:rsid w:val="0048665D"/>
    <w:rsid w:val="00494541"/>
    <w:rsid w:val="004B1AC7"/>
    <w:rsid w:val="004B53CC"/>
    <w:rsid w:val="004C01C1"/>
    <w:rsid w:val="004C64BF"/>
    <w:rsid w:val="004D1D96"/>
    <w:rsid w:val="004D6A55"/>
    <w:rsid w:val="004E1590"/>
    <w:rsid w:val="004E7673"/>
    <w:rsid w:val="004F55B9"/>
    <w:rsid w:val="004F58BE"/>
    <w:rsid w:val="00502576"/>
    <w:rsid w:val="00505915"/>
    <w:rsid w:val="00512F9F"/>
    <w:rsid w:val="005236E5"/>
    <w:rsid w:val="00527D12"/>
    <w:rsid w:val="00537EC6"/>
    <w:rsid w:val="005457DD"/>
    <w:rsid w:val="00545A61"/>
    <w:rsid w:val="00552DFE"/>
    <w:rsid w:val="00554F05"/>
    <w:rsid w:val="00556A3C"/>
    <w:rsid w:val="0056220C"/>
    <w:rsid w:val="005626D3"/>
    <w:rsid w:val="005748BF"/>
    <w:rsid w:val="00576D0F"/>
    <w:rsid w:val="00580D41"/>
    <w:rsid w:val="00596617"/>
    <w:rsid w:val="0059718D"/>
    <w:rsid w:val="005A1DF2"/>
    <w:rsid w:val="005A328C"/>
    <w:rsid w:val="005A78C6"/>
    <w:rsid w:val="005B3C24"/>
    <w:rsid w:val="005B7C65"/>
    <w:rsid w:val="005C29B5"/>
    <w:rsid w:val="005C4175"/>
    <w:rsid w:val="005C6C62"/>
    <w:rsid w:val="005D69AB"/>
    <w:rsid w:val="005D73E2"/>
    <w:rsid w:val="005E2F8A"/>
    <w:rsid w:val="005E4F1E"/>
    <w:rsid w:val="005E5654"/>
    <w:rsid w:val="005F070E"/>
    <w:rsid w:val="005F287E"/>
    <w:rsid w:val="005F39C4"/>
    <w:rsid w:val="005F3D60"/>
    <w:rsid w:val="005F589C"/>
    <w:rsid w:val="00602319"/>
    <w:rsid w:val="00606D66"/>
    <w:rsid w:val="00613F73"/>
    <w:rsid w:val="00616E7A"/>
    <w:rsid w:val="0062669D"/>
    <w:rsid w:val="00630CF9"/>
    <w:rsid w:val="006360A9"/>
    <w:rsid w:val="00636987"/>
    <w:rsid w:val="00636C01"/>
    <w:rsid w:val="00636EAD"/>
    <w:rsid w:val="00640F15"/>
    <w:rsid w:val="00644147"/>
    <w:rsid w:val="00645302"/>
    <w:rsid w:val="00650160"/>
    <w:rsid w:val="00650295"/>
    <w:rsid w:val="00653E74"/>
    <w:rsid w:val="006616F3"/>
    <w:rsid w:val="00661E8D"/>
    <w:rsid w:val="006677F9"/>
    <w:rsid w:val="00670D39"/>
    <w:rsid w:val="00672536"/>
    <w:rsid w:val="00677B95"/>
    <w:rsid w:val="00696C72"/>
    <w:rsid w:val="006A3FCA"/>
    <w:rsid w:val="006A517F"/>
    <w:rsid w:val="006B0D9D"/>
    <w:rsid w:val="006B2379"/>
    <w:rsid w:val="006D4CFE"/>
    <w:rsid w:val="006D5539"/>
    <w:rsid w:val="006E019E"/>
    <w:rsid w:val="006E4E78"/>
    <w:rsid w:val="006F0FB3"/>
    <w:rsid w:val="006F5861"/>
    <w:rsid w:val="006F5B55"/>
    <w:rsid w:val="006F75CE"/>
    <w:rsid w:val="00705B92"/>
    <w:rsid w:val="00706AA8"/>
    <w:rsid w:val="00714C34"/>
    <w:rsid w:val="007163B5"/>
    <w:rsid w:val="00717764"/>
    <w:rsid w:val="007238AE"/>
    <w:rsid w:val="00724074"/>
    <w:rsid w:val="007265CA"/>
    <w:rsid w:val="0073767E"/>
    <w:rsid w:val="00737A8A"/>
    <w:rsid w:val="00743463"/>
    <w:rsid w:val="00746369"/>
    <w:rsid w:val="00746807"/>
    <w:rsid w:val="00750B47"/>
    <w:rsid w:val="007510B5"/>
    <w:rsid w:val="007526CC"/>
    <w:rsid w:val="00760026"/>
    <w:rsid w:val="0076151A"/>
    <w:rsid w:val="007625DA"/>
    <w:rsid w:val="00772723"/>
    <w:rsid w:val="00780715"/>
    <w:rsid w:val="00780E6A"/>
    <w:rsid w:val="00783525"/>
    <w:rsid w:val="00794354"/>
    <w:rsid w:val="007946A5"/>
    <w:rsid w:val="0079659A"/>
    <w:rsid w:val="007A7611"/>
    <w:rsid w:val="007B42E4"/>
    <w:rsid w:val="007B678F"/>
    <w:rsid w:val="007B715C"/>
    <w:rsid w:val="007C3B74"/>
    <w:rsid w:val="007C4D2C"/>
    <w:rsid w:val="007C5899"/>
    <w:rsid w:val="007C597C"/>
    <w:rsid w:val="007C799B"/>
    <w:rsid w:val="007D2A8E"/>
    <w:rsid w:val="007D2F82"/>
    <w:rsid w:val="007D31B5"/>
    <w:rsid w:val="007D32AC"/>
    <w:rsid w:val="007D40E9"/>
    <w:rsid w:val="007D429E"/>
    <w:rsid w:val="007D4425"/>
    <w:rsid w:val="007D7CF6"/>
    <w:rsid w:val="007E5C09"/>
    <w:rsid w:val="007E6167"/>
    <w:rsid w:val="007E796C"/>
    <w:rsid w:val="007F7EEC"/>
    <w:rsid w:val="00803BA7"/>
    <w:rsid w:val="00806E9D"/>
    <w:rsid w:val="00812169"/>
    <w:rsid w:val="0081448D"/>
    <w:rsid w:val="00824023"/>
    <w:rsid w:val="00827818"/>
    <w:rsid w:val="00827B89"/>
    <w:rsid w:val="00851B0F"/>
    <w:rsid w:val="00854DF6"/>
    <w:rsid w:val="00857724"/>
    <w:rsid w:val="0086181F"/>
    <w:rsid w:val="0086187F"/>
    <w:rsid w:val="00863ED1"/>
    <w:rsid w:val="008678D4"/>
    <w:rsid w:val="00884529"/>
    <w:rsid w:val="008877AE"/>
    <w:rsid w:val="008942C4"/>
    <w:rsid w:val="00895086"/>
    <w:rsid w:val="008B1295"/>
    <w:rsid w:val="008B4CA5"/>
    <w:rsid w:val="008C0BAA"/>
    <w:rsid w:val="008D140F"/>
    <w:rsid w:val="008D311D"/>
    <w:rsid w:val="008D340E"/>
    <w:rsid w:val="008D6814"/>
    <w:rsid w:val="008D6EDA"/>
    <w:rsid w:val="008E395E"/>
    <w:rsid w:val="008E60EC"/>
    <w:rsid w:val="008F19C2"/>
    <w:rsid w:val="008F2702"/>
    <w:rsid w:val="008F32A5"/>
    <w:rsid w:val="008F4260"/>
    <w:rsid w:val="008F7C79"/>
    <w:rsid w:val="0090102D"/>
    <w:rsid w:val="0090231D"/>
    <w:rsid w:val="009051DD"/>
    <w:rsid w:val="00906A05"/>
    <w:rsid w:val="00907132"/>
    <w:rsid w:val="0090766C"/>
    <w:rsid w:val="00932B4F"/>
    <w:rsid w:val="009378DB"/>
    <w:rsid w:val="009423C9"/>
    <w:rsid w:val="00951179"/>
    <w:rsid w:val="0095538F"/>
    <w:rsid w:val="009566D2"/>
    <w:rsid w:val="009645E5"/>
    <w:rsid w:val="00973BFF"/>
    <w:rsid w:val="00975564"/>
    <w:rsid w:val="00976AE8"/>
    <w:rsid w:val="009779E8"/>
    <w:rsid w:val="0098583E"/>
    <w:rsid w:val="00987721"/>
    <w:rsid w:val="009945A2"/>
    <w:rsid w:val="00997E62"/>
    <w:rsid w:val="009B00BB"/>
    <w:rsid w:val="009B4788"/>
    <w:rsid w:val="009B47FB"/>
    <w:rsid w:val="009C7412"/>
    <w:rsid w:val="009D297D"/>
    <w:rsid w:val="009D5972"/>
    <w:rsid w:val="009E76AE"/>
    <w:rsid w:val="009F5FEA"/>
    <w:rsid w:val="009F7DC6"/>
    <w:rsid w:val="00A021BC"/>
    <w:rsid w:val="00A04C7C"/>
    <w:rsid w:val="00A11678"/>
    <w:rsid w:val="00A1432E"/>
    <w:rsid w:val="00A41D13"/>
    <w:rsid w:val="00A4400B"/>
    <w:rsid w:val="00A53617"/>
    <w:rsid w:val="00A555EE"/>
    <w:rsid w:val="00A64CC7"/>
    <w:rsid w:val="00A7142E"/>
    <w:rsid w:val="00A71B30"/>
    <w:rsid w:val="00A71C07"/>
    <w:rsid w:val="00A74123"/>
    <w:rsid w:val="00A82195"/>
    <w:rsid w:val="00A83F14"/>
    <w:rsid w:val="00A846FC"/>
    <w:rsid w:val="00A862E7"/>
    <w:rsid w:val="00A866D9"/>
    <w:rsid w:val="00A871A5"/>
    <w:rsid w:val="00AB69F5"/>
    <w:rsid w:val="00AC5792"/>
    <w:rsid w:val="00AD2D53"/>
    <w:rsid w:val="00AD495C"/>
    <w:rsid w:val="00AD5CEF"/>
    <w:rsid w:val="00AD7D5D"/>
    <w:rsid w:val="00AE2A6D"/>
    <w:rsid w:val="00AE34A0"/>
    <w:rsid w:val="00AE7ABA"/>
    <w:rsid w:val="00B059DE"/>
    <w:rsid w:val="00B16C8A"/>
    <w:rsid w:val="00B233FD"/>
    <w:rsid w:val="00B236D7"/>
    <w:rsid w:val="00B31E20"/>
    <w:rsid w:val="00B35E27"/>
    <w:rsid w:val="00B361A7"/>
    <w:rsid w:val="00B366BD"/>
    <w:rsid w:val="00B410C4"/>
    <w:rsid w:val="00B4592D"/>
    <w:rsid w:val="00B47021"/>
    <w:rsid w:val="00B51030"/>
    <w:rsid w:val="00B620F1"/>
    <w:rsid w:val="00B622C3"/>
    <w:rsid w:val="00B66588"/>
    <w:rsid w:val="00B7230A"/>
    <w:rsid w:val="00B80D1D"/>
    <w:rsid w:val="00B816B9"/>
    <w:rsid w:val="00B85D79"/>
    <w:rsid w:val="00B93235"/>
    <w:rsid w:val="00B939FE"/>
    <w:rsid w:val="00B93A1C"/>
    <w:rsid w:val="00B962EB"/>
    <w:rsid w:val="00BA022F"/>
    <w:rsid w:val="00BA44EA"/>
    <w:rsid w:val="00BB47F2"/>
    <w:rsid w:val="00BB6E9E"/>
    <w:rsid w:val="00BC3733"/>
    <w:rsid w:val="00BC3B35"/>
    <w:rsid w:val="00BC3BE3"/>
    <w:rsid w:val="00BC7F5B"/>
    <w:rsid w:val="00BD43A7"/>
    <w:rsid w:val="00BD597A"/>
    <w:rsid w:val="00BE4708"/>
    <w:rsid w:val="00BE7858"/>
    <w:rsid w:val="00BF55E5"/>
    <w:rsid w:val="00BF661D"/>
    <w:rsid w:val="00C003BD"/>
    <w:rsid w:val="00C00C41"/>
    <w:rsid w:val="00C04C63"/>
    <w:rsid w:val="00C06C2A"/>
    <w:rsid w:val="00C21570"/>
    <w:rsid w:val="00C25C8C"/>
    <w:rsid w:val="00C25F6B"/>
    <w:rsid w:val="00C2756B"/>
    <w:rsid w:val="00C31941"/>
    <w:rsid w:val="00C460E6"/>
    <w:rsid w:val="00C5643B"/>
    <w:rsid w:val="00C57C14"/>
    <w:rsid w:val="00C65FFC"/>
    <w:rsid w:val="00C66AD3"/>
    <w:rsid w:val="00C67B52"/>
    <w:rsid w:val="00C70593"/>
    <w:rsid w:val="00C805FF"/>
    <w:rsid w:val="00C81379"/>
    <w:rsid w:val="00C87705"/>
    <w:rsid w:val="00C902E0"/>
    <w:rsid w:val="00C913F4"/>
    <w:rsid w:val="00C9141B"/>
    <w:rsid w:val="00C9358A"/>
    <w:rsid w:val="00CA3875"/>
    <w:rsid w:val="00CA4132"/>
    <w:rsid w:val="00CA639E"/>
    <w:rsid w:val="00CC4291"/>
    <w:rsid w:val="00CD2C11"/>
    <w:rsid w:val="00CD340A"/>
    <w:rsid w:val="00CD5022"/>
    <w:rsid w:val="00CD5045"/>
    <w:rsid w:val="00CD694C"/>
    <w:rsid w:val="00CD7371"/>
    <w:rsid w:val="00CE665E"/>
    <w:rsid w:val="00CF32E2"/>
    <w:rsid w:val="00CF5E40"/>
    <w:rsid w:val="00D04BA0"/>
    <w:rsid w:val="00D0697F"/>
    <w:rsid w:val="00D12868"/>
    <w:rsid w:val="00D15753"/>
    <w:rsid w:val="00D208FF"/>
    <w:rsid w:val="00D2322F"/>
    <w:rsid w:val="00D257B8"/>
    <w:rsid w:val="00D27E0B"/>
    <w:rsid w:val="00D358B3"/>
    <w:rsid w:val="00D3604D"/>
    <w:rsid w:val="00D46241"/>
    <w:rsid w:val="00D50E5F"/>
    <w:rsid w:val="00D5637B"/>
    <w:rsid w:val="00D61B6E"/>
    <w:rsid w:val="00D63F10"/>
    <w:rsid w:val="00D713BE"/>
    <w:rsid w:val="00D72393"/>
    <w:rsid w:val="00D72A51"/>
    <w:rsid w:val="00D74932"/>
    <w:rsid w:val="00D75C68"/>
    <w:rsid w:val="00D8485F"/>
    <w:rsid w:val="00D85E60"/>
    <w:rsid w:val="00D90FE1"/>
    <w:rsid w:val="00D9670F"/>
    <w:rsid w:val="00D96E87"/>
    <w:rsid w:val="00D97D6A"/>
    <w:rsid w:val="00DA2DA8"/>
    <w:rsid w:val="00DA797D"/>
    <w:rsid w:val="00DB1259"/>
    <w:rsid w:val="00DB12ED"/>
    <w:rsid w:val="00DB290B"/>
    <w:rsid w:val="00DB4401"/>
    <w:rsid w:val="00DC43EE"/>
    <w:rsid w:val="00DD02FB"/>
    <w:rsid w:val="00DD08AF"/>
    <w:rsid w:val="00DD2F48"/>
    <w:rsid w:val="00DD6AC5"/>
    <w:rsid w:val="00DD7F3D"/>
    <w:rsid w:val="00DE2EE9"/>
    <w:rsid w:val="00DE3138"/>
    <w:rsid w:val="00DF1DB4"/>
    <w:rsid w:val="00DF357F"/>
    <w:rsid w:val="00DF3B07"/>
    <w:rsid w:val="00E02E17"/>
    <w:rsid w:val="00E101C5"/>
    <w:rsid w:val="00E14FD2"/>
    <w:rsid w:val="00E242B4"/>
    <w:rsid w:val="00E244ED"/>
    <w:rsid w:val="00E27BF1"/>
    <w:rsid w:val="00E304CE"/>
    <w:rsid w:val="00E33358"/>
    <w:rsid w:val="00E33C9D"/>
    <w:rsid w:val="00E44FA2"/>
    <w:rsid w:val="00E45284"/>
    <w:rsid w:val="00E537EA"/>
    <w:rsid w:val="00E55BCE"/>
    <w:rsid w:val="00E573E9"/>
    <w:rsid w:val="00E6081E"/>
    <w:rsid w:val="00E642CB"/>
    <w:rsid w:val="00E703FA"/>
    <w:rsid w:val="00E77F9F"/>
    <w:rsid w:val="00E80C31"/>
    <w:rsid w:val="00E81827"/>
    <w:rsid w:val="00E93683"/>
    <w:rsid w:val="00E93770"/>
    <w:rsid w:val="00E93FF4"/>
    <w:rsid w:val="00EA2B2A"/>
    <w:rsid w:val="00EA5D11"/>
    <w:rsid w:val="00EB3BD9"/>
    <w:rsid w:val="00EB4851"/>
    <w:rsid w:val="00EC6811"/>
    <w:rsid w:val="00ED6581"/>
    <w:rsid w:val="00EF0568"/>
    <w:rsid w:val="00EF78CF"/>
    <w:rsid w:val="00F00208"/>
    <w:rsid w:val="00F02B78"/>
    <w:rsid w:val="00F11038"/>
    <w:rsid w:val="00F12A42"/>
    <w:rsid w:val="00F13415"/>
    <w:rsid w:val="00F30FA3"/>
    <w:rsid w:val="00F33AA0"/>
    <w:rsid w:val="00F33BCA"/>
    <w:rsid w:val="00F34637"/>
    <w:rsid w:val="00F42D73"/>
    <w:rsid w:val="00F434F7"/>
    <w:rsid w:val="00F4353E"/>
    <w:rsid w:val="00F44075"/>
    <w:rsid w:val="00F55D0B"/>
    <w:rsid w:val="00F57609"/>
    <w:rsid w:val="00F67B22"/>
    <w:rsid w:val="00F80A42"/>
    <w:rsid w:val="00F84B08"/>
    <w:rsid w:val="00F87455"/>
    <w:rsid w:val="00FA2FA5"/>
    <w:rsid w:val="00FA53A4"/>
    <w:rsid w:val="00FA5E82"/>
    <w:rsid w:val="00FB0892"/>
    <w:rsid w:val="00FB1C4F"/>
    <w:rsid w:val="00FD4439"/>
    <w:rsid w:val="00FE6E50"/>
    <w:rsid w:val="00FF0E01"/>
    <w:rsid w:val="00FF4F3C"/>
    <w:rsid w:val="00FF5AE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3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5DA"/>
    <w:rPr>
      <w:rFonts w:ascii="Trebuchet MS" w:hAnsi="Trebuchet MS"/>
      <w:szCs w:val="24"/>
      <w:lang w:eastAsia="fr-FR"/>
    </w:rPr>
  </w:style>
  <w:style w:type="paragraph" w:styleId="Titre1">
    <w:name w:val="heading 1"/>
    <w:basedOn w:val="Normal"/>
    <w:next w:val="Normal"/>
    <w:link w:val="Titre1Car"/>
    <w:qFormat/>
    <w:rsid w:val="00266865"/>
    <w:pPr>
      <w:keepNext/>
      <w:pageBreakBefore/>
      <w:numPr>
        <w:numId w:val="2"/>
      </w:numPr>
      <w:pBdr>
        <w:top w:val="single" w:sz="18" w:space="1" w:color="FF6600"/>
        <w:left w:val="single" w:sz="18" w:space="4" w:color="FF6600"/>
        <w:bottom w:val="single" w:sz="18" w:space="1" w:color="FF6600"/>
        <w:right w:val="single" w:sz="18" w:space="4" w:color="FF6600"/>
      </w:pBdr>
      <w:tabs>
        <w:tab w:val="clear" w:pos="567"/>
        <w:tab w:val="num" w:pos="1134"/>
      </w:tabs>
      <w:spacing w:before="4800" w:after="280" w:afterAutospacing="1"/>
      <w:ind w:left="1134" w:right="3119" w:hanging="1276"/>
      <w:outlineLvl w:val="0"/>
    </w:pPr>
    <w:rPr>
      <w:rFonts w:ascii="Arial" w:hAnsi="Arial"/>
      <w:b/>
      <w:color w:val="FF6600"/>
      <w:sz w:val="48"/>
    </w:rPr>
  </w:style>
  <w:style w:type="paragraph" w:styleId="Titre2">
    <w:name w:val="heading 2"/>
    <w:basedOn w:val="Normal"/>
    <w:next w:val="Normal"/>
    <w:link w:val="Titre2Car"/>
    <w:uiPriority w:val="9"/>
    <w:qFormat/>
    <w:rsid w:val="00105A84"/>
    <w:pPr>
      <w:keepNext/>
      <w:numPr>
        <w:ilvl w:val="1"/>
        <w:numId w:val="2"/>
      </w:numPr>
      <w:tabs>
        <w:tab w:val="clear" w:pos="567"/>
        <w:tab w:val="left" w:pos="1134"/>
      </w:tabs>
      <w:spacing w:before="360" w:after="360"/>
      <w:ind w:left="1134" w:hanging="1134"/>
      <w:outlineLvl w:val="1"/>
    </w:pPr>
    <w:rPr>
      <w:rFonts w:ascii="Arial" w:hAnsi="Arial" w:cs="Arial"/>
      <w:b/>
      <w:bCs/>
      <w:iCs/>
      <w:color w:val="FF0000"/>
      <w:sz w:val="36"/>
      <w:szCs w:val="28"/>
    </w:rPr>
  </w:style>
  <w:style w:type="paragraph" w:styleId="Titre3">
    <w:name w:val="heading 3"/>
    <w:basedOn w:val="Normal"/>
    <w:next w:val="Normal"/>
    <w:link w:val="Titre3Car"/>
    <w:uiPriority w:val="9"/>
    <w:qFormat/>
    <w:rsid w:val="008F4260"/>
    <w:pPr>
      <w:keepNext/>
      <w:numPr>
        <w:ilvl w:val="2"/>
        <w:numId w:val="2"/>
      </w:numPr>
      <w:tabs>
        <w:tab w:val="left" w:pos="1134"/>
      </w:tabs>
      <w:spacing w:before="600" w:after="320"/>
      <w:outlineLvl w:val="2"/>
    </w:pPr>
    <w:rPr>
      <w:rFonts w:ascii="Arial" w:hAnsi="Arial" w:cs="Arial"/>
      <w:b/>
      <w:bCs/>
      <w:color w:val="0000FF"/>
      <w:sz w:val="32"/>
      <w:szCs w:val="26"/>
    </w:rPr>
  </w:style>
  <w:style w:type="paragraph" w:styleId="Titre4">
    <w:name w:val="heading 4"/>
    <w:basedOn w:val="Normal"/>
    <w:next w:val="Normal"/>
    <w:qFormat/>
    <w:rsid w:val="001F7D23"/>
    <w:pPr>
      <w:keepNext/>
      <w:numPr>
        <w:ilvl w:val="3"/>
        <w:numId w:val="2"/>
      </w:numPr>
      <w:tabs>
        <w:tab w:val="clear" w:pos="0"/>
        <w:tab w:val="left" w:pos="1134"/>
      </w:tabs>
      <w:spacing w:before="480" w:after="120"/>
      <w:ind w:left="1134" w:hanging="1134"/>
      <w:outlineLvl w:val="3"/>
    </w:pPr>
    <w:rPr>
      <w:rFonts w:ascii="Arial" w:hAnsi="Arial"/>
      <w:b/>
      <w:bCs/>
      <w:color w:val="008000"/>
      <w:sz w:val="28"/>
      <w:szCs w:val="28"/>
    </w:rPr>
  </w:style>
  <w:style w:type="paragraph" w:styleId="Titre5">
    <w:name w:val="heading 5"/>
    <w:basedOn w:val="Normal"/>
    <w:next w:val="Normal"/>
    <w:qFormat/>
    <w:rsid w:val="000F0944"/>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0F0944"/>
    <w:rPr>
      <w:vertAlign w:val="superscript"/>
    </w:rPr>
  </w:style>
  <w:style w:type="paragraph" w:styleId="En-tte">
    <w:name w:val="header"/>
    <w:basedOn w:val="Normal"/>
    <w:link w:val="En-tteCar"/>
    <w:rsid w:val="000F0944"/>
    <w:pPr>
      <w:tabs>
        <w:tab w:val="center" w:pos="4536"/>
        <w:tab w:val="right" w:pos="9072"/>
      </w:tabs>
    </w:pPr>
  </w:style>
  <w:style w:type="character" w:styleId="Lienhypertexte">
    <w:name w:val="Hyperlink"/>
    <w:uiPriority w:val="99"/>
    <w:rsid w:val="000F0944"/>
    <w:rPr>
      <w:color w:val="0000FF"/>
      <w:u w:val="single"/>
    </w:rPr>
  </w:style>
  <w:style w:type="paragraph" w:styleId="Notedebasdepage">
    <w:name w:val="footnote text"/>
    <w:basedOn w:val="Normal"/>
    <w:link w:val="NotedebasdepageCar"/>
    <w:semiHidden/>
    <w:rsid w:val="004663F9"/>
    <w:rPr>
      <w:sz w:val="16"/>
      <w:szCs w:val="20"/>
    </w:rPr>
  </w:style>
  <w:style w:type="character" w:styleId="Numrodepage">
    <w:name w:val="page number"/>
    <w:basedOn w:val="Policepardfaut"/>
    <w:rsid w:val="000F0944"/>
  </w:style>
  <w:style w:type="paragraph" w:styleId="Pieddepage">
    <w:name w:val="footer"/>
    <w:basedOn w:val="Normal"/>
    <w:link w:val="PieddepageCar"/>
    <w:rsid w:val="000F0944"/>
    <w:pPr>
      <w:tabs>
        <w:tab w:val="center" w:pos="4536"/>
        <w:tab w:val="right" w:pos="9072"/>
      </w:tabs>
    </w:pPr>
  </w:style>
  <w:style w:type="paragraph" w:customStyle="1" w:styleId="StyleTitre1Avant78pt">
    <w:name w:val="Style Titre 1 + Avant : 78 pt"/>
    <w:basedOn w:val="Titre1"/>
    <w:rsid w:val="000F0944"/>
    <w:pPr>
      <w:numPr>
        <w:numId w:val="0"/>
      </w:numPr>
      <w:spacing w:before="6000"/>
    </w:pPr>
    <w:rPr>
      <w:bCs/>
      <w:szCs w:val="20"/>
    </w:rPr>
  </w:style>
  <w:style w:type="paragraph" w:customStyle="1" w:styleId="Texte">
    <w:name w:val="Texte"/>
    <w:basedOn w:val="Normal"/>
    <w:rsid w:val="000F0944"/>
    <w:pPr>
      <w:widowControl w:val="0"/>
    </w:pPr>
    <w:rPr>
      <w:noProof/>
      <w:szCs w:val="20"/>
    </w:rPr>
  </w:style>
  <w:style w:type="paragraph" w:customStyle="1" w:styleId="titre">
    <w:name w:val="titre"/>
    <w:basedOn w:val="Titre1"/>
    <w:rsid w:val="000F0944"/>
    <w:pPr>
      <w:numPr>
        <w:numId w:val="0"/>
      </w:numPr>
    </w:pPr>
    <w:rPr>
      <w:szCs w:val="22"/>
    </w:rPr>
  </w:style>
  <w:style w:type="character" w:customStyle="1" w:styleId="Titre1Car">
    <w:name w:val="Titre 1 Car"/>
    <w:link w:val="Titre1"/>
    <w:rsid w:val="00266865"/>
    <w:rPr>
      <w:rFonts w:ascii="Arial" w:hAnsi="Arial"/>
      <w:b/>
      <w:color w:val="FF6600"/>
      <w:sz w:val="48"/>
      <w:szCs w:val="24"/>
      <w:lang w:val="fr-FR" w:eastAsia="fr-FR"/>
    </w:rPr>
  </w:style>
  <w:style w:type="character" w:customStyle="1" w:styleId="Titre2Car">
    <w:name w:val="Titre 2 Car"/>
    <w:link w:val="Titre2"/>
    <w:uiPriority w:val="9"/>
    <w:rsid w:val="00105A84"/>
    <w:rPr>
      <w:rFonts w:ascii="Arial" w:hAnsi="Arial" w:cs="Arial"/>
      <w:b/>
      <w:bCs/>
      <w:iCs/>
      <w:color w:val="FF0000"/>
      <w:sz w:val="36"/>
      <w:szCs w:val="28"/>
      <w:lang w:eastAsia="fr-FR"/>
    </w:rPr>
  </w:style>
  <w:style w:type="paragraph" w:styleId="TM1">
    <w:name w:val="toc 1"/>
    <w:basedOn w:val="Normal"/>
    <w:next w:val="Normal"/>
    <w:autoRedefine/>
    <w:uiPriority w:val="39"/>
    <w:rsid w:val="000F0944"/>
    <w:pPr>
      <w:spacing w:before="120" w:after="120"/>
    </w:pPr>
    <w:rPr>
      <w:rFonts w:ascii="Times New Roman" w:hAnsi="Times New Roman"/>
      <w:b/>
      <w:bCs/>
      <w:caps/>
      <w:szCs w:val="20"/>
    </w:rPr>
  </w:style>
  <w:style w:type="paragraph" w:styleId="TM2">
    <w:name w:val="toc 2"/>
    <w:basedOn w:val="Normal"/>
    <w:next w:val="Normal"/>
    <w:autoRedefine/>
    <w:uiPriority w:val="39"/>
    <w:rsid w:val="000F0944"/>
    <w:pPr>
      <w:ind w:left="200"/>
    </w:pPr>
    <w:rPr>
      <w:rFonts w:ascii="Times New Roman" w:hAnsi="Times New Roman"/>
      <w:smallCaps/>
      <w:szCs w:val="20"/>
    </w:rPr>
  </w:style>
  <w:style w:type="paragraph" w:styleId="TM3">
    <w:name w:val="toc 3"/>
    <w:basedOn w:val="Normal"/>
    <w:next w:val="Normal"/>
    <w:autoRedefine/>
    <w:uiPriority w:val="39"/>
    <w:rsid w:val="000F0944"/>
    <w:pPr>
      <w:ind w:left="400"/>
    </w:pPr>
    <w:rPr>
      <w:rFonts w:ascii="Times New Roman" w:hAnsi="Times New Roman"/>
      <w:i/>
      <w:iCs/>
      <w:szCs w:val="20"/>
    </w:rPr>
  </w:style>
  <w:style w:type="paragraph" w:styleId="TM4">
    <w:name w:val="toc 4"/>
    <w:basedOn w:val="Normal"/>
    <w:next w:val="Normal"/>
    <w:autoRedefine/>
    <w:uiPriority w:val="39"/>
    <w:rsid w:val="000F0944"/>
    <w:pPr>
      <w:ind w:left="600"/>
    </w:pPr>
    <w:rPr>
      <w:rFonts w:ascii="Times New Roman" w:hAnsi="Times New Roman"/>
      <w:sz w:val="18"/>
      <w:szCs w:val="18"/>
    </w:rPr>
  </w:style>
  <w:style w:type="paragraph" w:styleId="TM5">
    <w:name w:val="toc 5"/>
    <w:basedOn w:val="Normal"/>
    <w:next w:val="Normal"/>
    <w:autoRedefine/>
    <w:uiPriority w:val="39"/>
    <w:rsid w:val="000F0944"/>
    <w:pPr>
      <w:ind w:left="800"/>
    </w:pPr>
    <w:rPr>
      <w:rFonts w:ascii="Times New Roman" w:hAnsi="Times New Roman"/>
      <w:sz w:val="18"/>
      <w:szCs w:val="18"/>
    </w:rPr>
  </w:style>
  <w:style w:type="paragraph" w:styleId="TM6">
    <w:name w:val="toc 6"/>
    <w:basedOn w:val="Normal"/>
    <w:next w:val="Normal"/>
    <w:autoRedefine/>
    <w:uiPriority w:val="39"/>
    <w:rsid w:val="000F0944"/>
    <w:pPr>
      <w:ind w:left="1000"/>
    </w:pPr>
    <w:rPr>
      <w:rFonts w:ascii="Times New Roman" w:hAnsi="Times New Roman"/>
      <w:sz w:val="18"/>
      <w:szCs w:val="18"/>
    </w:rPr>
  </w:style>
  <w:style w:type="paragraph" w:styleId="TM7">
    <w:name w:val="toc 7"/>
    <w:basedOn w:val="Normal"/>
    <w:next w:val="Normal"/>
    <w:autoRedefine/>
    <w:uiPriority w:val="39"/>
    <w:rsid w:val="000F0944"/>
    <w:pPr>
      <w:ind w:left="1200"/>
    </w:pPr>
    <w:rPr>
      <w:rFonts w:ascii="Times New Roman" w:hAnsi="Times New Roman"/>
      <w:sz w:val="18"/>
      <w:szCs w:val="18"/>
    </w:rPr>
  </w:style>
  <w:style w:type="paragraph" w:styleId="TM8">
    <w:name w:val="toc 8"/>
    <w:basedOn w:val="Normal"/>
    <w:next w:val="Normal"/>
    <w:autoRedefine/>
    <w:uiPriority w:val="39"/>
    <w:rsid w:val="000F0944"/>
    <w:pPr>
      <w:ind w:left="1400"/>
    </w:pPr>
    <w:rPr>
      <w:rFonts w:ascii="Times New Roman" w:hAnsi="Times New Roman"/>
      <w:sz w:val="18"/>
      <w:szCs w:val="18"/>
    </w:rPr>
  </w:style>
  <w:style w:type="paragraph" w:styleId="TM9">
    <w:name w:val="toc 9"/>
    <w:basedOn w:val="Normal"/>
    <w:next w:val="Normal"/>
    <w:autoRedefine/>
    <w:uiPriority w:val="39"/>
    <w:rsid w:val="000F0944"/>
    <w:pPr>
      <w:ind w:left="1600"/>
    </w:pPr>
    <w:rPr>
      <w:rFonts w:ascii="Times New Roman" w:hAnsi="Times New Roman"/>
      <w:sz w:val="18"/>
      <w:szCs w:val="18"/>
    </w:rPr>
  </w:style>
  <w:style w:type="paragraph" w:customStyle="1" w:styleId="Img">
    <w:name w:val="Img"/>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Div">
    <w:name w:val="Div"/>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Ol">
    <w:name w:val="Ol"/>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Ul">
    <w:name w:val="Ul"/>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Li">
    <w:name w:val="Li"/>
    <w:basedOn w:val="Normal"/>
    <w:rsid w:val="008877AE"/>
    <w:pPr>
      <w:shd w:val="solid" w:color="FFFFFF" w:fill="auto"/>
      <w:jc w:val="both"/>
    </w:pPr>
    <w:rPr>
      <w:rFonts w:eastAsia="Trebuchet MS" w:cs="Trebuchet MS"/>
      <w:color w:val="000000"/>
      <w:sz w:val="24"/>
      <w:shd w:val="solid" w:color="FFFFFF" w:fill="auto"/>
      <w:lang w:val="ru-RU" w:eastAsia="ru-RU"/>
    </w:rPr>
  </w:style>
  <w:style w:type="paragraph" w:customStyle="1" w:styleId="StyleDivAprs14pt">
    <w:name w:val="Style Div + Après : 14 pt"/>
    <w:basedOn w:val="Div"/>
    <w:rsid w:val="0005457C"/>
    <w:pPr>
      <w:spacing w:after="280"/>
      <w:jc w:val="both"/>
    </w:pPr>
    <w:rPr>
      <w:rFonts w:eastAsia="Times New Roman" w:cs="Times New Roman"/>
      <w:szCs w:val="20"/>
    </w:rPr>
  </w:style>
  <w:style w:type="paragraph" w:customStyle="1" w:styleId="StyleAprs14pt">
    <w:name w:val="Style Après : 14 pt"/>
    <w:basedOn w:val="Normal"/>
    <w:rsid w:val="006F75CE"/>
    <w:pPr>
      <w:spacing w:after="280"/>
      <w:jc w:val="both"/>
    </w:pPr>
    <w:rPr>
      <w:szCs w:val="20"/>
    </w:rPr>
  </w:style>
  <w:style w:type="character" w:customStyle="1" w:styleId="NotedebasdepageCar">
    <w:name w:val="Note de bas de page Car"/>
    <w:link w:val="Notedebasdepage"/>
    <w:semiHidden/>
    <w:rsid w:val="004663F9"/>
    <w:rPr>
      <w:rFonts w:ascii="Trebuchet MS" w:hAnsi="Trebuchet MS"/>
      <w:sz w:val="16"/>
      <w:lang w:val="fr-FR" w:eastAsia="fr-FR"/>
    </w:rPr>
  </w:style>
  <w:style w:type="character" w:customStyle="1" w:styleId="titleniv11">
    <w:name w:val="titleniv11"/>
    <w:rsid w:val="00E642CB"/>
    <w:rPr>
      <w:b/>
      <w:bCs/>
      <w:color w:val="4F7396"/>
      <w:sz w:val="26"/>
      <w:szCs w:val="26"/>
    </w:rPr>
  </w:style>
  <w:style w:type="character" w:customStyle="1" w:styleId="apple-style-span">
    <w:name w:val="apple-style-span"/>
    <w:basedOn w:val="Policepardfaut"/>
    <w:rsid w:val="00193D2A"/>
  </w:style>
  <w:style w:type="character" w:customStyle="1" w:styleId="apple-converted-space">
    <w:name w:val="apple-converted-space"/>
    <w:basedOn w:val="Policepardfaut"/>
    <w:rsid w:val="00193D2A"/>
  </w:style>
  <w:style w:type="character" w:customStyle="1" w:styleId="Titre3Car">
    <w:name w:val="Titre 3 Car"/>
    <w:link w:val="Titre3"/>
    <w:uiPriority w:val="9"/>
    <w:rsid w:val="008F4260"/>
    <w:rPr>
      <w:rFonts w:ascii="Arial" w:hAnsi="Arial" w:cs="Arial"/>
      <w:b/>
      <w:bCs/>
      <w:color w:val="0000FF"/>
      <w:sz w:val="32"/>
      <w:szCs w:val="26"/>
      <w:lang w:val="fr-FR" w:eastAsia="fr-FR"/>
    </w:rPr>
  </w:style>
  <w:style w:type="character" w:styleId="Lienhypertextesuivivisit">
    <w:name w:val="FollowedHyperlink"/>
    <w:uiPriority w:val="99"/>
    <w:unhideWhenUsed/>
    <w:rsid w:val="00D97D6A"/>
    <w:rPr>
      <w:color w:val="800080"/>
      <w:u w:val="single"/>
    </w:rPr>
  </w:style>
  <w:style w:type="paragraph" w:styleId="NormalWeb">
    <w:name w:val="Normal (Web)"/>
    <w:basedOn w:val="Normal"/>
    <w:unhideWhenUsed/>
    <w:rsid w:val="00D97D6A"/>
    <w:pPr>
      <w:spacing w:before="100" w:beforeAutospacing="1" w:after="100" w:afterAutospacing="1"/>
    </w:pPr>
    <w:rPr>
      <w:rFonts w:ascii="Times New Roman" w:hAnsi="Times New Roman"/>
      <w:sz w:val="24"/>
      <w:lang w:eastAsia="fr-BE"/>
    </w:rPr>
  </w:style>
  <w:style w:type="character" w:customStyle="1" w:styleId="mw-headline">
    <w:name w:val="mw-headline"/>
    <w:basedOn w:val="Policepardfaut"/>
    <w:rsid w:val="00D97D6A"/>
  </w:style>
  <w:style w:type="character" w:customStyle="1" w:styleId="editsection">
    <w:name w:val="editsection"/>
    <w:basedOn w:val="Policepardfaut"/>
    <w:rsid w:val="00D97D6A"/>
  </w:style>
  <w:style w:type="paragraph" w:styleId="Paragraphedeliste">
    <w:name w:val="List Paragraph"/>
    <w:basedOn w:val="Normal"/>
    <w:uiPriority w:val="34"/>
    <w:qFormat/>
    <w:rsid w:val="007D4425"/>
    <w:pPr>
      <w:ind w:left="708"/>
    </w:pPr>
  </w:style>
  <w:style w:type="character" w:customStyle="1" w:styleId="l">
    <w:name w:val="l"/>
    <w:rsid w:val="00D96E87"/>
    <w:rPr>
      <w:b/>
      <w:bCs/>
      <w:color w:val="FF0000"/>
    </w:rPr>
  </w:style>
  <w:style w:type="character" w:customStyle="1" w:styleId="foldclosed">
    <w:name w:val="foldclosed"/>
    <w:basedOn w:val="Policepardfaut"/>
    <w:rsid w:val="00D96E87"/>
  </w:style>
  <w:style w:type="character" w:customStyle="1" w:styleId="foldopened">
    <w:name w:val="foldopened"/>
    <w:basedOn w:val="Policepardfaut"/>
    <w:rsid w:val="00D96E87"/>
  </w:style>
  <w:style w:type="paragraph" w:customStyle="1" w:styleId="text">
    <w:name w:val="text"/>
    <w:basedOn w:val="Normal"/>
    <w:rsid w:val="009779E8"/>
    <w:pPr>
      <w:spacing w:before="100" w:beforeAutospacing="1" w:after="100" w:afterAutospacing="1"/>
    </w:pPr>
    <w:rPr>
      <w:rFonts w:ascii="Times New Roman" w:hAnsi="Times New Roman"/>
      <w:sz w:val="24"/>
      <w:lang w:eastAsia="fr-BE"/>
    </w:rPr>
  </w:style>
  <w:style w:type="character" w:styleId="lev">
    <w:name w:val="Strong"/>
    <w:uiPriority w:val="22"/>
    <w:qFormat/>
    <w:rsid w:val="00613F73"/>
    <w:rPr>
      <w:b/>
      <w:bCs/>
    </w:rPr>
  </w:style>
  <w:style w:type="character" w:customStyle="1" w:styleId="En-tteCar">
    <w:name w:val="En-tête Car"/>
    <w:link w:val="En-tte"/>
    <w:rsid w:val="00F12A42"/>
    <w:rPr>
      <w:rFonts w:ascii="Trebuchet MS" w:hAnsi="Trebuchet MS"/>
      <w:szCs w:val="24"/>
      <w:lang w:val="fr-FR" w:eastAsia="fr-FR"/>
    </w:rPr>
  </w:style>
  <w:style w:type="character" w:customStyle="1" w:styleId="PieddepageCar">
    <w:name w:val="Pied de page Car"/>
    <w:link w:val="Pieddepage"/>
    <w:rsid w:val="00F12A42"/>
    <w:rPr>
      <w:rFonts w:ascii="Trebuchet MS" w:hAnsi="Trebuchet MS"/>
      <w:szCs w:val="24"/>
      <w:lang w:val="fr-FR" w:eastAsia="fr-FR"/>
    </w:rPr>
  </w:style>
  <w:style w:type="character" w:customStyle="1" w:styleId="Date1">
    <w:name w:val="Date1"/>
    <w:basedOn w:val="Policepardfaut"/>
    <w:rsid w:val="005626D3"/>
  </w:style>
  <w:style w:type="paragraph" w:styleId="Sansinterligne">
    <w:name w:val="No Spacing"/>
    <w:uiPriority w:val="1"/>
    <w:qFormat/>
    <w:rsid w:val="00630CF9"/>
    <w:rPr>
      <w:rFonts w:ascii="Trebuchet MS" w:hAnsi="Trebuchet MS"/>
      <w:szCs w:val="24"/>
      <w:lang w:val="fr-FR" w:eastAsia="fr-FR"/>
    </w:rPr>
  </w:style>
  <w:style w:type="character" w:styleId="Accentuation">
    <w:name w:val="Emphasis"/>
    <w:uiPriority w:val="20"/>
    <w:qFormat/>
    <w:rsid w:val="003E6211"/>
    <w:rPr>
      <w:i/>
      <w:iCs/>
    </w:rPr>
  </w:style>
  <w:style w:type="paragraph" w:customStyle="1" w:styleId="Default">
    <w:name w:val="Default"/>
    <w:rsid w:val="004B1AC7"/>
    <w:pPr>
      <w:autoSpaceDE w:val="0"/>
      <w:autoSpaceDN w:val="0"/>
      <w:adjustRightInd w:val="0"/>
    </w:pPr>
    <w:rPr>
      <w:rFonts w:ascii="HMPFMA+TimesNewRoman" w:eastAsia="Calibri" w:hAnsi="HMPFMA+TimesNewRoman" w:cs="HMPFMA+TimesNewRoman"/>
      <w:color w:val="000000"/>
      <w:sz w:val="24"/>
      <w:szCs w:val="24"/>
      <w:lang w:eastAsia="en-US"/>
    </w:rPr>
  </w:style>
  <w:style w:type="paragraph" w:customStyle="1" w:styleId="Paragraphedeliste1">
    <w:name w:val="Paragraphe de liste1"/>
    <w:basedOn w:val="Normal"/>
    <w:rsid w:val="009C7412"/>
    <w:pPr>
      <w:spacing w:after="200" w:line="276" w:lineRule="auto"/>
      <w:ind w:left="720"/>
      <w:contextualSpacing/>
    </w:pPr>
    <w:rPr>
      <w:rFonts w:ascii="Times New Roman" w:hAnsi="Times New Roman"/>
      <w:sz w:val="24"/>
      <w:szCs w:val="22"/>
      <w:lang w:eastAsia="en-US"/>
    </w:rPr>
  </w:style>
  <w:style w:type="character" w:customStyle="1" w:styleId="exemple1">
    <w:name w:val="exemple1"/>
    <w:rsid w:val="009C7412"/>
    <w:rPr>
      <w:rFonts w:ascii="Verdana" w:hAnsi="Verdana" w:cs="Times New Roman" w:hint="default"/>
      <w:sz w:val="27"/>
      <w:szCs w:val="27"/>
    </w:rPr>
  </w:style>
  <w:style w:type="paragraph" w:styleId="Textedebulles">
    <w:name w:val="Balloon Text"/>
    <w:basedOn w:val="Normal"/>
    <w:link w:val="TextedebullesCar"/>
    <w:rsid w:val="00606D66"/>
    <w:rPr>
      <w:rFonts w:ascii="Tahoma" w:hAnsi="Tahoma" w:cs="Tahoma"/>
      <w:sz w:val="16"/>
      <w:szCs w:val="16"/>
    </w:rPr>
  </w:style>
  <w:style w:type="character" w:customStyle="1" w:styleId="TextedebullesCar">
    <w:name w:val="Texte de bulles Car"/>
    <w:basedOn w:val="Policepardfaut"/>
    <w:link w:val="Textedebulles"/>
    <w:rsid w:val="00606D66"/>
    <w:rPr>
      <w:rFonts w:ascii="Tahoma" w:hAnsi="Tahoma" w:cs="Tahoma"/>
      <w:sz w:val="16"/>
      <w:szCs w:val="16"/>
      <w:lang w:val="fr-FR" w:eastAsia="fr-FR"/>
    </w:rPr>
  </w:style>
  <w:style w:type="character" w:customStyle="1" w:styleId="Mention">
    <w:name w:val="Mention"/>
    <w:basedOn w:val="Policepardfaut"/>
    <w:uiPriority w:val="99"/>
    <w:semiHidden/>
    <w:unhideWhenUsed/>
    <w:rsid w:val="00AE7ABA"/>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5DA"/>
    <w:rPr>
      <w:rFonts w:ascii="Trebuchet MS" w:hAnsi="Trebuchet MS"/>
      <w:szCs w:val="24"/>
      <w:lang w:eastAsia="fr-FR"/>
    </w:rPr>
  </w:style>
  <w:style w:type="paragraph" w:styleId="Titre1">
    <w:name w:val="heading 1"/>
    <w:basedOn w:val="Normal"/>
    <w:next w:val="Normal"/>
    <w:link w:val="Titre1Car"/>
    <w:qFormat/>
    <w:rsid w:val="00266865"/>
    <w:pPr>
      <w:keepNext/>
      <w:pageBreakBefore/>
      <w:numPr>
        <w:numId w:val="2"/>
      </w:numPr>
      <w:pBdr>
        <w:top w:val="single" w:sz="18" w:space="1" w:color="FF6600"/>
        <w:left w:val="single" w:sz="18" w:space="4" w:color="FF6600"/>
        <w:bottom w:val="single" w:sz="18" w:space="1" w:color="FF6600"/>
        <w:right w:val="single" w:sz="18" w:space="4" w:color="FF6600"/>
      </w:pBdr>
      <w:tabs>
        <w:tab w:val="clear" w:pos="567"/>
        <w:tab w:val="num" w:pos="1134"/>
      </w:tabs>
      <w:spacing w:before="4800" w:after="280" w:afterAutospacing="1"/>
      <w:ind w:left="1134" w:right="3119" w:hanging="1276"/>
      <w:outlineLvl w:val="0"/>
    </w:pPr>
    <w:rPr>
      <w:rFonts w:ascii="Arial" w:hAnsi="Arial"/>
      <w:b/>
      <w:color w:val="FF6600"/>
      <w:sz w:val="48"/>
    </w:rPr>
  </w:style>
  <w:style w:type="paragraph" w:styleId="Titre2">
    <w:name w:val="heading 2"/>
    <w:basedOn w:val="Normal"/>
    <w:next w:val="Normal"/>
    <w:link w:val="Titre2Car"/>
    <w:uiPriority w:val="9"/>
    <w:qFormat/>
    <w:rsid w:val="00105A84"/>
    <w:pPr>
      <w:keepNext/>
      <w:numPr>
        <w:ilvl w:val="1"/>
        <w:numId w:val="2"/>
      </w:numPr>
      <w:tabs>
        <w:tab w:val="clear" w:pos="567"/>
        <w:tab w:val="left" w:pos="1134"/>
      </w:tabs>
      <w:spacing w:before="360" w:after="360"/>
      <w:ind w:left="1134" w:hanging="1134"/>
      <w:outlineLvl w:val="1"/>
    </w:pPr>
    <w:rPr>
      <w:rFonts w:ascii="Arial" w:hAnsi="Arial" w:cs="Arial"/>
      <w:b/>
      <w:bCs/>
      <w:iCs/>
      <w:color w:val="FF0000"/>
      <w:sz w:val="36"/>
      <w:szCs w:val="28"/>
    </w:rPr>
  </w:style>
  <w:style w:type="paragraph" w:styleId="Titre3">
    <w:name w:val="heading 3"/>
    <w:basedOn w:val="Normal"/>
    <w:next w:val="Normal"/>
    <w:link w:val="Titre3Car"/>
    <w:uiPriority w:val="9"/>
    <w:qFormat/>
    <w:rsid w:val="008F4260"/>
    <w:pPr>
      <w:keepNext/>
      <w:numPr>
        <w:ilvl w:val="2"/>
        <w:numId w:val="2"/>
      </w:numPr>
      <w:tabs>
        <w:tab w:val="left" w:pos="1134"/>
      </w:tabs>
      <w:spacing w:before="600" w:after="320"/>
      <w:outlineLvl w:val="2"/>
    </w:pPr>
    <w:rPr>
      <w:rFonts w:ascii="Arial" w:hAnsi="Arial" w:cs="Arial"/>
      <w:b/>
      <w:bCs/>
      <w:color w:val="0000FF"/>
      <w:sz w:val="32"/>
      <w:szCs w:val="26"/>
    </w:rPr>
  </w:style>
  <w:style w:type="paragraph" w:styleId="Titre4">
    <w:name w:val="heading 4"/>
    <w:basedOn w:val="Normal"/>
    <w:next w:val="Normal"/>
    <w:qFormat/>
    <w:rsid w:val="001F7D23"/>
    <w:pPr>
      <w:keepNext/>
      <w:numPr>
        <w:ilvl w:val="3"/>
        <w:numId w:val="2"/>
      </w:numPr>
      <w:tabs>
        <w:tab w:val="clear" w:pos="0"/>
        <w:tab w:val="left" w:pos="1134"/>
      </w:tabs>
      <w:spacing w:before="480" w:after="120"/>
      <w:ind w:left="1134" w:hanging="1134"/>
      <w:outlineLvl w:val="3"/>
    </w:pPr>
    <w:rPr>
      <w:rFonts w:ascii="Arial" w:hAnsi="Arial"/>
      <w:b/>
      <w:bCs/>
      <w:color w:val="008000"/>
      <w:sz w:val="28"/>
      <w:szCs w:val="28"/>
    </w:rPr>
  </w:style>
  <w:style w:type="paragraph" w:styleId="Titre5">
    <w:name w:val="heading 5"/>
    <w:basedOn w:val="Normal"/>
    <w:next w:val="Normal"/>
    <w:qFormat/>
    <w:rsid w:val="000F0944"/>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0F0944"/>
    <w:rPr>
      <w:vertAlign w:val="superscript"/>
    </w:rPr>
  </w:style>
  <w:style w:type="paragraph" w:styleId="En-tte">
    <w:name w:val="header"/>
    <w:basedOn w:val="Normal"/>
    <w:link w:val="En-tteCar"/>
    <w:rsid w:val="000F0944"/>
    <w:pPr>
      <w:tabs>
        <w:tab w:val="center" w:pos="4536"/>
        <w:tab w:val="right" w:pos="9072"/>
      </w:tabs>
    </w:pPr>
  </w:style>
  <w:style w:type="character" w:styleId="Lienhypertexte">
    <w:name w:val="Hyperlink"/>
    <w:uiPriority w:val="99"/>
    <w:rsid w:val="000F0944"/>
    <w:rPr>
      <w:color w:val="0000FF"/>
      <w:u w:val="single"/>
    </w:rPr>
  </w:style>
  <w:style w:type="paragraph" w:styleId="Notedebasdepage">
    <w:name w:val="footnote text"/>
    <w:basedOn w:val="Normal"/>
    <w:link w:val="NotedebasdepageCar"/>
    <w:semiHidden/>
    <w:rsid w:val="004663F9"/>
    <w:rPr>
      <w:sz w:val="16"/>
      <w:szCs w:val="20"/>
    </w:rPr>
  </w:style>
  <w:style w:type="character" w:styleId="Numrodepage">
    <w:name w:val="page number"/>
    <w:basedOn w:val="Policepardfaut"/>
    <w:rsid w:val="000F0944"/>
  </w:style>
  <w:style w:type="paragraph" w:styleId="Pieddepage">
    <w:name w:val="footer"/>
    <w:basedOn w:val="Normal"/>
    <w:link w:val="PieddepageCar"/>
    <w:rsid w:val="000F0944"/>
    <w:pPr>
      <w:tabs>
        <w:tab w:val="center" w:pos="4536"/>
        <w:tab w:val="right" w:pos="9072"/>
      </w:tabs>
    </w:pPr>
  </w:style>
  <w:style w:type="paragraph" w:customStyle="1" w:styleId="StyleTitre1Avant78pt">
    <w:name w:val="Style Titre 1 + Avant : 78 pt"/>
    <w:basedOn w:val="Titre1"/>
    <w:rsid w:val="000F0944"/>
    <w:pPr>
      <w:numPr>
        <w:numId w:val="0"/>
      </w:numPr>
      <w:spacing w:before="6000"/>
    </w:pPr>
    <w:rPr>
      <w:bCs/>
      <w:szCs w:val="20"/>
    </w:rPr>
  </w:style>
  <w:style w:type="paragraph" w:customStyle="1" w:styleId="Texte">
    <w:name w:val="Texte"/>
    <w:basedOn w:val="Normal"/>
    <w:rsid w:val="000F0944"/>
    <w:pPr>
      <w:widowControl w:val="0"/>
    </w:pPr>
    <w:rPr>
      <w:noProof/>
      <w:szCs w:val="20"/>
    </w:rPr>
  </w:style>
  <w:style w:type="paragraph" w:customStyle="1" w:styleId="titre">
    <w:name w:val="titre"/>
    <w:basedOn w:val="Titre1"/>
    <w:rsid w:val="000F0944"/>
    <w:pPr>
      <w:numPr>
        <w:numId w:val="0"/>
      </w:numPr>
    </w:pPr>
    <w:rPr>
      <w:szCs w:val="22"/>
    </w:rPr>
  </w:style>
  <w:style w:type="character" w:customStyle="1" w:styleId="Titre1Car">
    <w:name w:val="Titre 1 Car"/>
    <w:link w:val="Titre1"/>
    <w:rsid w:val="00266865"/>
    <w:rPr>
      <w:rFonts w:ascii="Arial" w:hAnsi="Arial"/>
      <w:b/>
      <w:color w:val="FF6600"/>
      <w:sz w:val="48"/>
      <w:szCs w:val="24"/>
      <w:lang w:val="fr-FR" w:eastAsia="fr-FR"/>
    </w:rPr>
  </w:style>
  <w:style w:type="character" w:customStyle="1" w:styleId="Titre2Car">
    <w:name w:val="Titre 2 Car"/>
    <w:link w:val="Titre2"/>
    <w:uiPriority w:val="9"/>
    <w:rsid w:val="00105A84"/>
    <w:rPr>
      <w:rFonts w:ascii="Arial" w:hAnsi="Arial" w:cs="Arial"/>
      <w:b/>
      <w:bCs/>
      <w:iCs/>
      <w:color w:val="FF0000"/>
      <w:sz w:val="36"/>
      <w:szCs w:val="28"/>
      <w:lang w:eastAsia="fr-FR"/>
    </w:rPr>
  </w:style>
  <w:style w:type="paragraph" w:styleId="TM1">
    <w:name w:val="toc 1"/>
    <w:basedOn w:val="Normal"/>
    <w:next w:val="Normal"/>
    <w:autoRedefine/>
    <w:uiPriority w:val="39"/>
    <w:rsid w:val="000F0944"/>
    <w:pPr>
      <w:spacing w:before="120" w:after="120"/>
    </w:pPr>
    <w:rPr>
      <w:rFonts w:ascii="Times New Roman" w:hAnsi="Times New Roman"/>
      <w:b/>
      <w:bCs/>
      <w:caps/>
      <w:szCs w:val="20"/>
    </w:rPr>
  </w:style>
  <w:style w:type="paragraph" w:styleId="TM2">
    <w:name w:val="toc 2"/>
    <w:basedOn w:val="Normal"/>
    <w:next w:val="Normal"/>
    <w:autoRedefine/>
    <w:uiPriority w:val="39"/>
    <w:rsid w:val="000F0944"/>
    <w:pPr>
      <w:ind w:left="200"/>
    </w:pPr>
    <w:rPr>
      <w:rFonts w:ascii="Times New Roman" w:hAnsi="Times New Roman"/>
      <w:smallCaps/>
      <w:szCs w:val="20"/>
    </w:rPr>
  </w:style>
  <w:style w:type="paragraph" w:styleId="TM3">
    <w:name w:val="toc 3"/>
    <w:basedOn w:val="Normal"/>
    <w:next w:val="Normal"/>
    <w:autoRedefine/>
    <w:uiPriority w:val="39"/>
    <w:rsid w:val="000F0944"/>
    <w:pPr>
      <w:ind w:left="400"/>
    </w:pPr>
    <w:rPr>
      <w:rFonts w:ascii="Times New Roman" w:hAnsi="Times New Roman"/>
      <w:i/>
      <w:iCs/>
      <w:szCs w:val="20"/>
    </w:rPr>
  </w:style>
  <w:style w:type="paragraph" w:styleId="TM4">
    <w:name w:val="toc 4"/>
    <w:basedOn w:val="Normal"/>
    <w:next w:val="Normal"/>
    <w:autoRedefine/>
    <w:uiPriority w:val="39"/>
    <w:rsid w:val="000F0944"/>
    <w:pPr>
      <w:ind w:left="600"/>
    </w:pPr>
    <w:rPr>
      <w:rFonts w:ascii="Times New Roman" w:hAnsi="Times New Roman"/>
      <w:sz w:val="18"/>
      <w:szCs w:val="18"/>
    </w:rPr>
  </w:style>
  <w:style w:type="paragraph" w:styleId="TM5">
    <w:name w:val="toc 5"/>
    <w:basedOn w:val="Normal"/>
    <w:next w:val="Normal"/>
    <w:autoRedefine/>
    <w:uiPriority w:val="39"/>
    <w:rsid w:val="000F0944"/>
    <w:pPr>
      <w:ind w:left="800"/>
    </w:pPr>
    <w:rPr>
      <w:rFonts w:ascii="Times New Roman" w:hAnsi="Times New Roman"/>
      <w:sz w:val="18"/>
      <w:szCs w:val="18"/>
    </w:rPr>
  </w:style>
  <w:style w:type="paragraph" w:styleId="TM6">
    <w:name w:val="toc 6"/>
    <w:basedOn w:val="Normal"/>
    <w:next w:val="Normal"/>
    <w:autoRedefine/>
    <w:uiPriority w:val="39"/>
    <w:rsid w:val="000F0944"/>
    <w:pPr>
      <w:ind w:left="1000"/>
    </w:pPr>
    <w:rPr>
      <w:rFonts w:ascii="Times New Roman" w:hAnsi="Times New Roman"/>
      <w:sz w:val="18"/>
      <w:szCs w:val="18"/>
    </w:rPr>
  </w:style>
  <w:style w:type="paragraph" w:styleId="TM7">
    <w:name w:val="toc 7"/>
    <w:basedOn w:val="Normal"/>
    <w:next w:val="Normal"/>
    <w:autoRedefine/>
    <w:uiPriority w:val="39"/>
    <w:rsid w:val="000F0944"/>
    <w:pPr>
      <w:ind w:left="1200"/>
    </w:pPr>
    <w:rPr>
      <w:rFonts w:ascii="Times New Roman" w:hAnsi="Times New Roman"/>
      <w:sz w:val="18"/>
      <w:szCs w:val="18"/>
    </w:rPr>
  </w:style>
  <w:style w:type="paragraph" w:styleId="TM8">
    <w:name w:val="toc 8"/>
    <w:basedOn w:val="Normal"/>
    <w:next w:val="Normal"/>
    <w:autoRedefine/>
    <w:uiPriority w:val="39"/>
    <w:rsid w:val="000F0944"/>
    <w:pPr>
      <w:ind w:left="1400"/>
    </w:pPr>
    <w:rPr>
      <w:rFonts w:ascii="Times New Roman" w:hAnsi="Times New Roman"/>
      <w:sz w:val="18"/>
      <w:szCs w:val="18"/>
    </w:rPr>
  </w:style>
  <w:style w:type="paragraph" w:styleId="TM9">
    <w:name w:val="toc 9"/>
    <w:basedOn w:val="Normal"/>
    <w:next w:val="Normal"/>
    <w:autoRedefine/>
    <w:uiPriority w:val="39"/>
    <w:rsid w:val="000F0944"/>
    <w:pPr>
      <w:ind w:left="1600"/>
    </w:pPr>
    <w:rPr>
      <w:rFonts w:ascii="Times New Roman" w:hAnsi="Times New Roman"/>
      <w:sz w:val="18"/>
      <w:szCs w:val="18"/>
    </w:rPr>
  </w:style>
  <w:style w:type="paragraph" w:customStyle="1" w:styleId="Img">
    <w:name w:val="Img"/>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Div">
    <w:name w:val="Div"/>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Ol">
    <w:name w:val="Ol"/>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Ul">
    <w:name w:val="Ul"/>
    <w:basedOn w:val="Normal"/>
    <w:rsid w:val="004C64BF"/>
    <w:pPr>
      <w:shd w:val="solid" w:color="FFFFFF" w:fill="auto"/>
    </w:pPr>
    <w:rPr>
      <w:rFonts w:eastAsia="Trebuchet MS" w:cs="Trebuchet MS"/>
      <w:color w:val="000000"/>
      <w:sz w:val="24"/>
      <w:shd w:val="solid" w:color="FFFFFF" w:fill="auto"/>
      <w:lang w:val="ru-RU" w:eastAsia="ru-RU"/>
    </w:rPr>
  </w:style>
  <w:style w:type="paragraph" w:customStyle="1" w:styleId="Li">
    <w:name w:val="Li"/>
    <w:basedOn w:val="Normal"/>
    <w:rsid w:val="008877AE"/>
    <w:pPr>
      <w:shd w:val="solid" w:color="FFFFFF" w:fill="auto"/>
      <w:jc w:val="both"/>
    </w:pPr>
    <w:rPr>
      <w:rFonts w:eastAsia="Trebuchet MS" w:cs="Trebuchet MS"/>
      <w:color w:val="000000"/>
      <w:sz w:val="24"/>
      <w:shd w:val="solid" w:color="FFFFFF" w:fill="auto"/>
      <w:lang w:val="ru-RU" w:eastAsia="ru-RU"/>
    </w:rPr>
  </w:style>
  <w:style w:type="paragraph" w:customStyle="1" w:styleId="StyleDivAprs14pt">
    <w:name w:val="Style Div + Après : 14 pt"/>
    <w:basedOn w:val="Div"/>
    <w:rsid w:val="0005457C"/>
    <w:pPr>
      <w:spacing w:after="280"/>
      <w:jc w:val="both"/>
    </w:pPr>
    <w:rPr>
      <w:rFonts w:eastAsia="Times New Roman" w:cs="Times New Roman"/>
      <w:szCs w:val="20"/>
    </w:rPr>
  </w:style>
  <w:style w:type="paragraph" w:customStyle="1" w:styleId="StyleAprs14pt">
    <w:name w:val="Style Après : 14 pt"/>
    <w:basedOn w:val="Normal"/>
    <w:rsid w:val="006F75CE"/>
    <w:pPr>
      <w:spacing w:after="280"/>
      <w:jc w:val="both"/>
    </w:pPr>
    <w:rPr>
      <w:szCs w:val="20"/>
    </w:rPr>
  </w:style>
  <w:style w:type="character" w:customStyle="1" w:styleId="NotedebasdepageCar">
    <w:name w:val="Note de bas de page Car"/>
    <w:link w:val="Notedebasdepage"/>
    <w:semiHidden/>
    <w:rsid w:val="004663F9"/>
    <w:rPr>
      <w:rFonts w:ascii="Trebuchet MS" w:hAnsi="Trebuchet MS"/>
      <w:sz w:val="16"/>
      <w:lang w:val="fr-FR" w:eastAsia="fr-FR"/>
    </w:rPr>
  </w:style>
  <w:style w:type="character" w:customStyle="1" w:styleId="titleniv11">
    <w:name w:val="titleniv11"/>
    <w:rsid w:val="00E642CB"/>
    <w:rPr>
      <w:b/>
      <w:bCs/>
      <w:color w:val="4F7396"/>
      <w:sz w:val="26"/>
      <w:szCs w:val="26"/>
    </w:rPr>
  </w:style>
  <w:style w:type="character" w:customStyle="1" w:styleId="apple-style-span">
    <w:name w:val="apple-style-span"/>
    <w:basedOn w:val="Policepardfaut"/>
    <w:rsid w:val="00193D2A"/>
  </w:style>
  <w:style w:type="character" w:customStyle="1" w:styleId="apple-converted-space">
    <w:name w:val="apple-converted-space"/>
    <w:basedOn w:val="Policepardfaut"/>
    <w:rsid w:val="00193D2A"/>
  </w:style>
  <w:style w:type="character" w:customStyle="1" w:styleId="Titre3Car">
    <w:name w:val="Titre 3 Car"/>
    <w:link w:val="Titre3"/>
    <w:uiPriority w:val="9"/>
    <w:rsid w:val="008F4260"/>
    <w:rPr>
      <w:rFonts w:ascii="Arial" w:hAnsi="Arial" w:cs="Arial"/>
      <w:b/>
      <w:bCs/>
      <w:color w:val="0000FF"/>
      <w:sz w:val="32"/>
      <w:szCs w:val="26"/>
      <w:lang w:val="fr-FR" w:eastAsia="fr-FR"/>
    </w:rPr>
  </w:style>
  <w:style w:type="character" w:styleId="Lienhypertextesuivivisit">
    <w:name w:val="FollowedHyperlink"/>
    <w:uiPriority w:val="99"/>
    <w:unhideWhenUsed/>
    <w:rsid w:val="00D97D6A"/>
    <w:rPr>
      <w:color w:val="800080"/>
      <w:u w:val="single"/>
    </w:rPr>
  </w:style>
  <w:style w:type="paragraph" w:styleId="NormalWeb">
    <w:name w:val="Normal (Web)"/>
    <w:basedOn w:val="Normal"/>
    <w:unhideWhenUsed/>
    <w:rsid w:val="00D97D6A"/>
    <w:pPr>
      <w:spacing w:before="100" w:beforeAutospacing="1" w:after="100" w:afterAutospacing="1"/>
    </w:pPr>
    <w:rPr>
      <w:rFonts w:ascii="Times New Roman" w:hAnsi="Times New Roman"/>
      <w:sz w:val="24"/>
      <w:lang w:eastAsia="fr-BE"/>
    </w:rPr>
  </w:style>
  <w:style w:type="character" w:customStyle="1" w:styleId="mw-headline">
    <w:name w:val="mw-headline"/>
    <w:basedOn w:val="Policepardfaut"/>
    <w:rsid w:val="00D97D6A"/>
  </w:style>
  <w:style w:type="character" w:customStyle="1" w:styleId="editsection">
    <w:name w:val="editsection"/>
    <w:basedOn w:val="Policepardfaut"/>
    <w:rsid w:val="00D97D6A"/>
  </w:style>
  <w:style w:type="paragraph" w:styleId="Paragraphedeliste">
    <w:name w:val="List Paragraph"/>
    <w:basedOn w:val="Normal"/>
    <w:uiPriority w:val="34"/>
    <w:qFormat/>
    <w:rsid w:val="007D4425"/>
    <w:pPr>
      <w:ind w:left="708"/>
    </w:pPr>
  </w:style>
  <w:style w:type="character" w:customStyle="1" w:styleId="l">
    <w:name w:val="l"/>
    <w:rsid w:val="00D96E87"/>
    <w:rPr>
      <w:b/>
      <w:bCs/>
      <w:color w:val="FF0000"/>
    </w:rPr>
  </w:style>
  <w:style w:type="character" w:customStyle="1" w:styleId="foldclosed">
    <w:name w:val="foldclosed"/>
    <w:basedOn w:val="Policepardfaut"/>
    <w:rsid w:val="00D96E87"/>
  </w:style>
  <w:style w:type="character" w:customStyle="1" w:styleId="foldopened">
    <w:name w:val="foldopened"/>
    <w:basedOn w:val="Policepardfaut"/>
    <w:rsid w:val="00D96E87"/>
  </w:style>
  <w:style w:type="paragraph" w:customStyle="1" w:styleId="text">
    <w:name w:val="text"/>
    <w:basedOn w:val="Normal"/>
    <w:rsid w:val="009779E8"/>
    <w:pPr>
      <w:spacing w:before="100" w:beforeAutospacing="1" w:after="100" w:afterAutospacing="1"/>
    </w:pPr>
    <w:rPr>
      <w:rFonts w:ascii="Times New Roman" w:hAnsi="Times New Roman"/>
      <w:sz w:val="24"/>
      <w:lang w:eastAsia="fr-BE"/>
    </w:rPr>
  </w:style>
  <w:style w:type="character" w:styleId="lev">
    <w:name w:val="Strong"/>
    <w:uiPriority w:val="22"/>
    <w:qFormat/>
    <w:rsid w:val="00613F73"/>
    <w:rPr>
      <w:b/>
      <w:bCs/>
    </w:rPr>
  </w:style>
  <w:style w:type="character" w:customStyle="1" w:styleId="En-tteCar">
    <w:name w:val="En-tête Car"/>
    <w:link w:val="En-tte"/>
    <w:rsid w:val="00F12A42"/>
    <w:rPr>
      <w:rFonts w:ascii="Trebuchet MS" w:hAnsi="Trebuchet MS"/>
      <w:szCs w:val="24"/>
      <w:lang w:val="fr-FR" w:eastAsia="fr-FR"/>
    </w:rPr>
  </w:style>
  <w:style w:type="character" w:customStyle="1" w:styleId="PieddepageCar">
    <w:name w:val="Pied de page Car"/>
    <w:link w:val="Pieddepage"/>
    <w:rsid w:val="00F12A42"/>
    <w:rPr>
      <w:rFonts w:ascii="Trebuchet MS" w:hAnsi="Trebuchet MS"/>
      <w:szCs w:val="24"/>
      <w:lang w:val="fr-FR" w:eastAsia="fr-FR"/>
    </w:rPr>
  </w:style>
  <w:style w:type="character" w:customStyle="1" w:styleId="Date1">
    <w:name w:val="Date1"/>
    <w:basedOn w:val="Policepardfaut"/>
    <w:rsid w:val="005626D3"/>
  </w:style>
  <w:style w:type="paragraph" w:styleId="Sansinterligne">
    <w:name w:val="No Spacing"/>
    <w:uiPriority w:val="1"/>
    <w:qFormat/>
    <w:rsid w:val="00630CF9"/>
    <w:rPr>
      <w:rFonts w:ascii="Trebuchet MS" w:hAnsi="Trebuchet MS"/>
      <w:szCs w:val="24"/>
      <w:lang w:val="fr-FR" w:eastAsia="fr-FR"/>
    </w:rPr>
  </w:style>
  <w:style w:type="character" w:styleId="Accentuation">
    <w:name w:val="Emphasis"/>
    <w:uiPriority w:val="20"/>
    <w:qFormat/>
    <w:rsid w:val="003E6211"/>
    <w:rPr>
      <w:i/>
      <w:iCs/>
    </w:rPr>
  </w:style>
  <w:style w:type="paragraph" w:customStyle="1" w:styleId="Default">
    <w:name w:val="Default"/>
    <w:rsid w:val="004B1AC7"/>
    <w:pPr>
      <w:autoSpaceDE w:val="0"/>
      <w:autoSpaceDN w:val="0"/>
      <w:adjustRightInd w:val="0"/>
    </w:pPr>
    <w:rPr>
      <w:rFonts w:ascii="HMPFMA+TimesNewRoman" w:eastAsia="Calibri" w:hAnsi="HMPFMA+TimesNewRoman" w:cs="HMPFMA+TimesNewRoman"/>
      <w:color w:val="000000"/>
      <w:sz w:val="24"/>
      <w:szCs w:val="24"/>
      <w:lang w:eastAsia="en-US"/>
    </w:rPr>
  </w:style>
  <w:style w:type="paragraph" w:customStyle="1" w:styleId="Paragraphedeliste1">
    <w:name w:val="Paragraphe de liste1"/>
    <w:basedOn w:val="Normal"/>
    <w:rsid w:val="009C7412"/>
    <w:pPr>
      <w:spacing w:after="200" w:line="276" w:lineRule="auto"/>
      <w:ind w:left="720"/>
      <w:contextualSpacing/>
    </w:pPr>
    <w:rPr>
      <w:rFonts w:ascii="Times New Roman" w:hAnsi="Times New Roman"/>
      <w:sz w:val="24"/>
      <w:szCs w:val="22"/>
      <w:lang w:eastAsia="en-US"/>
    </w:rPr>
  </w:style>
  <w:style w:type="character" w:customStyle="1" w:styleId="exemple1">
    <w:name w:val="exemple1"/>
    <w:rsid w:val="009C7412"/>
    <w:rPr>
      <w:rFonts w:ascii="Verdana" w:hAnsi="Verdana" w:cs="Times New Roman" w:hint="default"/>
      <w:sz w:val="27"/>
      <w:szCs w:val="27"/>
    </w:rPr>
  </w:style>
  <w:style w:type="paragraph" w:styleId="Textedebulles">
    <w:name w:val="Balloon Text"/>
    <w:basedOn w:val="Normal"/>
    <w:link w:val="TextedebullesCar"/>
    <w:rsid w:val="00606D66"/>
    <w:rPr>
      <w:rFonts w:ascii="Tahoma" w:hAnsi="Tahoma" w:cs="Tahoma"/>
      <w:sz w:val="16"/>
      <w:szCs w:val="16"/>
    </w:rPr>
  </w:style>
  <w:style w:type="character" w:customStyle="1" w:styleId="TextedebullesCar">
    <w:name w:val="Texte de bulles Car"/>
    <w:basedOn w:val="Policepardfaut"/>
    <w:link w:val="Textedebulles"/>
    <w:rsid w:val="00606D66"/>
    <w:rPr>
      <w:rFonts w:ascii="Tahoma" w:hAnsi="Tahoma" w:cs="Tahoma"/>
      <w:sz w:val="16"/>
      <w:szCs w:val="16"/>
      <w:lang w:val="fr-FR" w:eastAsia="fr-FR"/>
    </w:rPr>
  </w:style>
  <w:style w:type="character" w:customStyle="1" w:styleId="Mention">
    <w:name w:val="Mention"/>
    <w:basedOn w:val="Policepardfaut"/>
    <w:uiPriority w:val="99"/>
    <w:semiHidden/>
    <w:unhideWhenUsed/>
    <w:rsid w:val="00AE7AB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4140">
      <w:bodyDiv w:val="1"/>
      <w:marLeft w:val="0"/>
      <w:marRight w:val="0"/>
      <w:marTop w:val="0"/>
      <w:marBottom w:val="0"/>
      <w:divBdr>
        <w:top w:val="none" w:sz="0" w:space="0" w:color="auto"/>
        <w:left w:val="none" w:sz="0" w:space="0" w:color="auto"/>
        <w:bottom w:val="none" w:sz="0" w:space="0" w:color="auto"/>
        <w:right w:val="none" w:sz="0" w:space="0" w:color="auto"/>
      </w:divBdr>
    </w:div>
    <w:div w:id="63726449">
      <w:bodyDiv w:val="1"/>
      <w:marLeft w:val="0"/>
      <w:marRight w:val="0"/>
      <w:marTop w:val="0"/>
      <w:marBottom w:val="0"/>
      <w:divBdr>
        <w:top w:val="none" w:sz="0" w:space="0" w:color="auto"/>
        <w:left w:val="none" w:sz="0" w:space="0" w:color="auto"/>
        <w:bottom w:val="none" w:sz="0" w:space="0" w:color="auto"/>
        <w:right w:val="none" w:sz="0" w:space="0" w:color="auto"/>
      </w:divBdr>
    </w:div>
    <w:div w:id="129514440">
      <w:bodyDiv w:val="1"/>
      <w:marLeft w:val="0"/>
      <w:marRight w:val="0"/>
      <w:marTop w:val="0"/>
      <w:marBottom w:val="0"/>
      <w:divBdr>
        <w:top w:val="none" w:sz="0" w:space="0" w:color="auto"/>
        <w:left w:val="none" w:sz="0" w:space="0" w:color="auto"/>
        <w:bottom w:val="none" w:sz="0" w:space="0" w:color="auto"/>
        <w:right w:val="none" w:sz="0" w:space="0" w:color="auto"/>
      </w:divBdr>
    </w:div>
    <w:div w:id="175117393">
      <w:bodyDiv w:val="1"/>
      <w:marLeft w:val="0"/>
      <w:marRight w:val="0"/>
      <w:marTop w:val="0"/>
      <w:marBottom w:val="0"/>
      <w:divBdr>
        <w:top w:val="none" w:sz="0" w:space="0" w:color="auto"/>
        <w:left w:val="none" w:sz="0" w:space="0" w:color="auto"/>
        <w:bottom w:val="none" w:sz="0" w:space="0" w:color="auto"/>
        <w:right w:val="none" w:sz="0" w:space="0" w:color="auto"/>
      </w:divBdr>
      <w:divsChild>
        <w:div w:id="466433245">
          <w:marLeft w:val="0"/>
          <w:marRight w:val="0"/>
          <w:marTop w:val="0"/>
          <w:marBottom w:val="0"/>
          <w:divBdr>
            <w:top w:val="none" w:sz="0" w:space="0" w:color="auto"/>
            <w:left w:val="none" w:sz="0" w:space="0" w:color="auto"/>
            <w:bottom w:val="none" w:sz="0" w:space="0" w:color="auto"/>
            <w:right w:val="none" w:sz="0" w:space="0" w:color="auto"/>
          </w:divBdr>
          <w:divsChild>
            <w:div w:id="643891761">
              <w:marLeft w:val="0"/>
              <w:marRight w:val="0"/>
              <w:marTop w:val="0"/>
              <w:marBottom w:val="0"/>
              <w:divBdr>
                <w:top w:val="none" w:sz="0" w:space="0" w:color="auto"/>
                <w:left w:val="none" w:sz="0" w:space="0" w:color="auto"/>
                <w:bottom w:val="none" w:sz="0" w:space="0" w:color="auto"/>
                <w:right w:val="none" w:sz="0" w:space="0" w:color="auto"/>
              </w:divBdr>
              <w:divsChild>
                <w:div w:id="1961256568">
                  <w:marLeft w:val="0"/>
                  <w:marRight w:val="0"/>
                  <w:marTop w:val="0"/>
                  <w:marBottom w:val="0"/>
                  <w:divBdr>
                    <w:top w:val="none" w:sz="0" w:space="0" w:color="auto"/>
                    <w:left w:val="none" w:sz="0" w:space="0" w:color="auto"/>
                    <w:bottom w:val="none" w:sz="0" w:space="0" w:color="auto"/>
                    <w:right w:val="none" w:sz="0" w:space="0" w:color="auto"/>
                  </w:divBdr>
                  <w:divsChild>
                    <w:div w:id="2118937987">
                      <w:marLeft w:val="0"/>
                      <w:marRight w:val="0"/>
                      <w:marTop w:val="0"/>
                      <w:marBottom w:val="0"/>
                      <w:divBdr>
                        <w:top w:val="none" w:sz="0" w:space="0" w:color="auto"/>
                        <w:left w:val="none" w:sz="0" w:space="0" w:color="auto"/>
                        <w:bottom w:val="none" w:sz="0" w:space="0" w:color="auto"/>
                        <w:right w:val="none" w:sz="0" w:space="0" w:color="auto"/>
                      </w:divBdr>
                      <w:divsChild>
                        <w:div w:id="1335062719">
                          <w:marLeft w:val="0"/>
                          <w:marRight w:val="0"/>
                          <w:marTop w:val="0"/>
                          <w:marBottom w:val="0"/>
                          <w:divBdr>
                            <w:top w:val="none" w:sz="0" w:space="0" w:color="auto"/>
                            <w:left w:val="none" w:sz="0" w:space="0" w:color="auto"/>
                            <w:bottom w:val="none" w:sz="0" w:space="0" w:color="auto"/>
                            <w:right w:val="none" w:sz="0" w:space="0" w:color="auto"/>
                          </w:divBdr>
                          <w:divsChild>
                            <w:div w:id="2085251698">
                              <w:marLeft w:val="0"/>
                              <w:marRight w:val="0"/>
                              <w:marTop w:val="0"/>
                              <w:marBottom w:val="0"/>
                              <w:divBdr>
                                <w:top w:val="none" w:sz="0" w:space="0" w:color="auto"/>
                                <w:left w:val="none" w:sz="0" w:space="0" w:color="auto"/>
                                <w:bottom w:val="none" w:sz="0" w:space="0" w:color="auto"/>
                                <w:right w:val="none" w:sz="0" w:space="0" w:color="auto"/>
                              </w:divBdr>
                              <w:divsChild>
                                <w:div w:id="1620645342">
                                  <w:marLeft w:val="0"/>
                                  <w:marRight w:val="0"/>
                                  <w:marTop w:val="0"/>
                                  <w:marBottom w:val="0"/>
                                  <w:divBdr>
                                    <w:top w:val="none" w:sz="0" w:space="0" w:color="auto"/>
                                    <w:left w:val="none" w:sz="0" w:space="0" w:color="auto"/>
                                    <w:bottom w:val="none" w:sz="0" w:space="0" w:color="auto"/>
                                    <w:right w:val="none" w:sz="0" w:space="0" w:color="auto"/>
                                  </w:divBdr>
                                  <w:divsChild>
                                    <w:div w:id="187841349">
                                      <w:marLeft w:val="0"/>
                                      <w:marRight w:val="0"/>
                                      <w:marTop w:val="0"/>
                                      <w:marBottom w:val="0"/>
                                      <w:divBdr>
                                        <w:top w:val="none" w:sz="0" w:space="0" w:color="auto"/>
                                        <w:left w:val="none" w:sz="0" w:space="0" w:color="auto"/>
                                        <w:bottom w:val="none" w:sz="0" w:space="0" w:color="auto"/>
                                        <w:right w:val="none" w:sz="0" w:space="0" w:color="auto"/>
                                      </w:divBdr>
                                      <w:divsChild>
                                        <w:div w:id="1894465941">
                                          <w:marLeft w:val="0"/>
                                          <w:marRight w:val="0"/>
                                          <w:marTop w:val="0"/>
                                          <w:marBottom w:val="0"/>
                                          <w:divBdr>
                                            <w:top w:val="none" w:sz="0" w:space="0" w:color="auto"/>
                                            <w:left w:val="none" w:sz="0" w:space="0" w:color="auto"/>
                                            <w:bottom w:val="none" w:sz="0" w:space="0" w:color="auto"/>
                                            <w:right w:val="none" w:sz="0" w:space="0" w:color="auto"/>
                                          </w:divBdr>
                                          <w:divsChild>
                                            <w:div w:id="1368985831">
                                              <w:marLeft w:val="0"/>
                                              <w:marRight w:val="0"/>
                                              <w:marTop w:val="0"/>
                                              <w:marBottom w:val="0"/>
                                              <w:divBdr>
                                                <w:top w:val="none" w:sz="0" w:space="0" w:color="auto"/>
                                                <w:left w:val="none" w:sz="0" w:space="0" w:color="auto"/>
                                                <w:bottom w:val="none" w:sz="0" w:space="0" w:color="auto"/>
                                                <w:right w:val="none" w:sz="0" w:space="0" w:color="auto"/>
                                              </w:divBdr>
                                              <w:divsChild>
                                                <w:div w:id="1956715274">
                                                  <w:marLeft w:val="0"/>
                                                  <w:marRight w:val="0"/>
                                                  <w:marTop w:val="0"/>
                                                  <w:marBottom w:val="0"/>
                                                  <w:divBdr>
                                                    <w:top w:val="none" w:sz="0" w:space="0" w:color="auto"/>
                                                    <w:left w:val="none" w:sz="0" w:space="0" w:color="auto"/>
                                                    <w:bottom w:val="none" w:sz="0" w:space="0" w:color="auto"/>
                                                    <w:right w:val="none" w:sz="0" w:space="0" w:color="auto"/>
                                                  </w:divBdr>
                                                  <w:divsChild>
                                                    <w:div w:id="1416898752">
                                                      <w:marLeft w:val="0"/>
                                                      <w:marRight w:val="0"/>
                                                      <w:marTop w:val="0"/>
                                                      <w:marBottom w:val="0"/>
                                                      <w:divBdr>
                                                        <w:top w:val="none" w:sz="0" w:space="0" w:color="auto"/>
                                                        <w:left w:val="none" w:sz="0" w:space="0" w:color="auto"/>
                                                        <w:bottom w:val="none" w:sz="0" w:space="0" w:color="auto"/>
                                                        <w:right w:val="none" w:sz="0" w:space="0" w:color="auto"/>
                                                      </w:divBdr>
                                                      <w:divsChild>
                                                        <w:div w:id="1689986123">
                                                          <w:marLeft w:val="0"/>
                                                          <w:marRight w:val="0"/>
                                                          <w:marTop w:val="0"/>
                                                          <w:marBottom w:val="0"/>
                                                          <w:divBdr>
                                                            <w:top w:val="none" w:sz="0" w:space="0" w:color="auto"/>
                                                            <w:left w:val="none" w:sz="0" w:space="0" w:color="auto"/>
                                                            <w:bottom w:val="none" w:sz="0" w:space="0" w:color="auto"/>
                                                            <w:right w:val="none" w:sz="0" w:space="0" w:color="auto"/>
                                                          </w:divBdr>
                                                          <w:divsChild>
                                                            <w:div w:id="2032141768">
                                                              <w:marLeft w:val="0"/>
                                                              <w:marRight w:val="0"/>
                                                              <w:marTop w:val="0"/>
                                                              <w:marBottom w:val="0"/>
                                                              <w:divBdr>
                                                                <w:top w:val="none" w:sz="0" w:space="0" w:color="auto"/>
                                                                <w:left w:val="none" w:sz="0" w:space="0" w:color="auto"/>
                                                                <w:bottom w:val="none" w:sz="0" w:space="0" w:color="auto"/>
                                                                <w:right w:val="none" w:sz="0" w:space="0" w:color="auto"/>
                                                              </w:divBdr>
                                                              <w:divsChild>
                                                                <w:div w:id="827280893">
                                                                  <w:marLeft w:val="0"/>
                                                                  <w:marRight w:val="0"/>
                                                                  <w:marTop w:val="0"/>
                                                                  <w:marBottom w:val="0"/>
                                                                  <w:divBdr>
                                                                    <w:top w:val="none" w:sz="0" w:space="0" w:color="auto"/>
                                                                    <w:left w:val="none" w:sz="0" w:space="0" w:color="auto"/>
                                                                    <w:bottom w:val="none" w:sz="0" w:space="0" w:color="auto"/>
                                                                    <w:right w:val="none" w:sz="0" w:space="0" w:color="auto"/>
                                                                  </w:divBdr>
                                                                  <w:divsChild>
                                                                    <w:div w:id="1965772009">
                                                                      <w:marLeft w:val="0"/>
                                                                      <w:marRight w:val="0"/>
                                                                      <w:marTop w:val="0"/>
                                                                      <w:marBottom w:val="0"/>
                                                                      <w:divBdr>
                                                                        <w:top w:val="none" w:sz="0" w:space="0" w:color="auto"/>
                                                                        <w:left w:val="none" w:sz="0" w:space="0" w:color="auto"/>
                                                                        <w:bottom w:val="none" w:sz="0" w:space="0" w:color="auto"/>
                                                                        <w:right w:val="none" w:sz="0" w:space="0" w:color="auto"/>
                                                                      </w:divBdr>
                                                                      <w:divsChild>
                                                                        <w:div w:id="257910094">
                                                                          <w:marLeft w:val="0"/>
                                                                          <w:marRight w:val="0"/>
                                                                          <w:marTop w:val="0"/>
                                                                          <w:marBottom w:val="0"/>
                                                                          <w:divBdr>
                                                                            <w:top w:val="none" w:sz="0" w:space="0" w:color="auto"/>
                                                                            <w:left w:val="none" w:sz="0" w:space="0" w:color="auto"/>
                                                                            <w:bottom w:val="none" w:sz="0" w:space="0" w:color="auto"/>
                                                                            <w:right w:val="none" w:sz="0" w:space="0" w:color="auto"/>
                                                                          </w:divBdr>
                                                                          <w:divsChild>
                                                                            <w:div w:id="1852445901">
                                                                              <w:marLeft w:val="0"/>
                                                                              <w:marRight w:val="0"/>
                                                                              <w:marTop w:val="0"/>
                                                                              <w:marBottom w:val="0"/>
                                                                              <w:divBdr>
                                                                                <w:top w:val="none" w:sz="0" w:space="0" w:color="auto"/>
                                                                                <w:left w:val="none" w:sz="0" w:space="0" w:color="auto"/>
                                                                                <w:bottom w:val="none" w:sz="0" w:space="0" w:color="auto"/>
                                                                                <w:right w:val="none" w:sz="0" w:space="0" w:color="auto"/>
                                                                              </w:divBdr>
                                                                              <w:divsChild>
                                                                                <w:div w:id="338429705">
                                                                                  <w:marLeft w:val="0"/>
                                                                                  <w:marRight w:val="0"/>
                                                                                  <w:marTop w:val="0"/>
                                                                                  <w:marBottom w:val="120"/>
                                                                                  <w:divBdr>
                                                                                    <w:top w:val="none" w:sz="0" w:space="0" w:color="auto"/>
                                                                                    <w:left w:val="none" w:sz="0" w:space="0" w:color="auto"/>
                                                                                    <w:bottom w:val="none" w:sz="0" w:space="0" w:color="auto"/>
                                                                                    <w:right w:val="none" w:sz="0" w:space="0" w:color="auto"/>
                                                                                  </w:divBdr>
                                                                                  <w:divsChild>
                                                                                    <w:div w:id="1174732964">
                                                                                      <w:marLeft w:val="0"/>
                                                                                      <w:marRight w:val="0"/>
                                                                                      <w:marTop w:val="0"/>
                                                                                      <w:marBottom w:val="0"/>
                                                                                      <w:divBdr>
                                                                                        <w:top w:val="none" w:sz="0" w:space="0" w:color="auto"/>
                                                                                        <w:left w:val="none" w:sz="0" w:space="0" w:color="auto"/>
                                                                                        <w:bottom w:val="none" w:sz="0" w:space="0" w:color="auto"/>
                                                                                        <w:right w:val="none" w:sz="0" w:space="0" w:color="auto"/>
                                                                                      </w:divBdr>
                                                                                      <w:divsChild>
                                                                                        <w:div w:id="1825243182">
                                                                                          <w:marLeft w:val="0"/>
                                                                                          <w:marRight w:val="0"/>
                                                                                          <w:marTop w:val="0"/>
                                                                                          <w:marBottom w:val="0"/>
                                                                                          <w:divBdr>
                                                                                            <w:top w:val="none" w:sz="0" w:space="0" w:color="auto"/>
                                                                                            <w:left w:val="none" w:sz="0" w:space="0" w:color="auto"/>
                                                                                            <w:bottom w:val="none" w:sz="0" w:space="0" w:color="auto"/>
                                                                                            <w:right w:val="none" w:sz="0" w:space="0" w:color="auto"/>
                                                                                          </w:divBdr>
                                                                                        </w:div>
                                                                                        <w:div w:id="1857771704">
                                                                                          <w:marLeft w:val="0"/>
                                                                                          <w:marRight w:val="0"/>
                                                                                          <w:marTop w:val="0"/>
                                                                                          <w:marBottom w:val="0"/>
                                                                                          <w:divBdr>
                                                                                            <w:top w:val="none" w:sz="0" w:space="0" w:color="auto"/>
                                                                                            <w:left w:val="none" w:sz="0" w:space="0" w:color="auto"/>
                                                                                            <w:bottom w:val="none" w:sz="0" w:space="0" w:color="auto"/>
                                                                                            <w:right w:val="none" w:sz="0" w:space="0" w:color="auto"/>
                                                                                          </w:divBdr>
                                                                                        </w:div>
                                                                                        <w:div w:id="471674949">
                                                                                          <w:marLeft w:val="0"/>
                                                                                          <w:marRight w:val="0"/>
                                                                                          <w:marTop w:val="0"/>
                                                                                          <w:marBottom w:val="0"/>
                                                                                          <w:divBdr>
                                                                                            <w:top w:val="none" w:sz="0" w:space="0" w:color="auto"/>
                                                                                            <w:left w:val="none" w:sz="0" w:space="0" w:color="auto"/>
                                                                                            <w:bottom w:val="none" w:sz="0" w:space="0" w:color="auto"/>
                                                                                            <w:right w:val="none" w:sz="0" w:space="0" w:color="auto"/>
                                                                                          </w:divBdr>
                                                                                        </w:div>
                                                                                        <w:div w:id="1809860546">
                                                                                          <w:marLeft w:val="0"/>
                                                                                          <w:marRight w:val="0"/>
                                                                                          <w:marTop w:val="0"/>
                                                                                          <w:marBottom w:val="0"/>
                                                                                          <w:divBdr>
                                                                                            <w:top w:val="none" w:sz="0" w:space="0" w:color="auto"/>
                                                                                            <w:left w:val="none" w:sz="0" w:space="0" w:color="auto"/>
                                                                                            <w:bottom w:val="none" w:sz="0" w:space="0" w:color="auto"/>
                                                                                            <w:right w:val="none" w:sz="0" w:space="0" w:color="auto"/>
                                                                                          </w:divBdr>
                                                                                        </w:div>
                                                                                        <w:div w:id="17725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503539">
      <w:bodyDiv w:val="1"/>
      <w:marLeft w:val="0"/>
      <w:marRight w:val="0"/>
      <w:marTop w:val="0"/>
      <w:marBottom w:val="0"/>
      <w:divBdr>
        <w:top w:val="none" w:sz="0" w:space="0" w:color="auto"/>
        <w:left w:val="none" w:sz="0" w:space="0" w:color="auto"/>
        <w:bottom w:val="none" w:sz="0" w:space="0" w:color="auto"/>
        <w:right w:val="none" w:sz="0" w:space="0" w:color="auto"/>
      </w:divBdr>
    </w:div>
    <w:div w:id="423498711">
      <w:bodyDiv w:val="1"/>
      <w:marLeft w:val="0"/>
      <w:marRight w:val="0"/>
      <w:marTop w:val="0"/>
      <w:marBottom w:val="0"/>
      <w:divBdr>
        <w:top w:val="none" w:sz="0" w:space="0" w:color="auto"/>
        <w:left w:val="none" w:sz="0" w:space="0" w:color="auto"/>
        <w:bottom w:val="none" w:sz="0" w:space="0" w:color="auto"/>
        <w:right w:val="none" w:sz="0" w:space="0" w:color="auto"/>
      </w:divBdr>
    </w:div>
    <w:div w:id="450519026">
      <w:bodyDiv w:val="1"/>
      <w:marLeft w:val="0"/>
      <w:marRight w:val="0"/>
      <w:marTop w:val="0"/>
      <w:marBottom w:val="0"/>
      <w:divBdr>
        <w:top w:val="none" w:sz="0" w:space="0" w:color="auto"/>
        <w:left w:val="none" w:sz="0" w:space="0" w:color="auto"/>
        <w:bottom w:val="none" w:sz="0" w:space="0" w:color="auto"/>
        <w:right w:val="none" w:sz="0" w:space="0" w:color="auto"/>
      </w:divBdr>
    </w:div>
    <w:div w:id="555705183">
      <w:bodyDiv w:val="1"/>
      <w:marLeft w:val="0"/>
      <w:marRight w:val="0"/>
      <w:marTop w:val="0"/>
      <w:marBottom w:val="0"/>
      <w:divBdr>
        <w:top w:val="none" w:sz="0" w:space="0" w:color="auto"/>
        <w:left w:val="none" w:sz="0" w:space="0" w:color="auto"/>
        <w:bottom w:val="none" w:sz="0" w:space="0" w:color="auto"/>
        <w:right w:val="none" w:sz="0" w:space="0" w:color="auto"/>
      </w:divBdr>
    </w:div>
    <w:div w:id="865483992">
      <w:bodyDiv w:val="1"/>
      <w:marLeft w:val="0"/>
      <w:marRight w:val="0"/>
      <w:marTop w:val="0"/>
      <w:marBottom w:val="0"/>
      <w:divBdr>
        <w:top w:val="none" w:sz="0" w:space="0" w:color="auto"/>
        <w:left w:val="none" w:sz="0" w:space="0" w:color="auto"/>
        <w:bottom w:val="none" w:sz="0" w:space="0" w:color="auto"/>
        <w:right w:val="none" w:sz="0" w:space="0" w:color="auto"/>
      </w:divBdr>
    </w:div>
    <w:div w:id="966396413">
      <w:bodyDiv w:val="1"/>
      <w:marLeft w:val="0"/>
      <w:marRight w:val="0"/>
      <w:marTop w:val="0"/>
      <w:marBottom w:val="0"/>
      <w:divBdr>
        <w:top w:val="none" w:sz="0" w:space="0" w:color="auto"/>
        <w:left w:val="none" w:sz="0" w:space="0" w:color="auto"/>
        <w:bottom w:val="none" w:sz="0" w:space="0" w:color="auto"/>
        <w:right w:val="none" w:sz="0" w:space="0" w:color="auto"/>
      </w:divBdr>
    </w:div>
    <w:div w:id="970329866">
      <w:bodyDiv w:val="1"/>
      <w:marLeft w:val="0"/>
      <w:marRight w:val="0"/>
      <w:marTop w:val="0"/>
      <w:marBottom w:val="0"/>
      <w:divBdr>
        <w:top w:val="none" w:sz="0" w:space="0" w:color="auto"/>
        <w:left w:val="none" w:sz="0" w:space="0" w:color="auto"/>
        <w:bottom w:val="none" w:sz="0" w:space="0" w:color="auto"/>
        <w:right w:val="none" w:sz="0" w:space="0" w:color="auto"/>
      </w:divBdr>
    </w:div>
    <w:div w:id="1139608775">
      <w:bodyDiv w:val="1"/>
      <w:marLeft w:val="0"/>
      <w:marRight w:val="0"/>
      <w:marTop w:val="0"/>
      <w:marBottom w:val="0"/>
      <w:divBdr>
        <w:top w:val="none" w:sz="0" w:space="0" w:color="auto"/>
        <w:left w:val="none" w:sz="0" w:space="0" w:color="auto"/>
        <w:bottom w:val="none" w:sz="0" w:space="0" w:color="auto"/>
        <w:right w:val="none" w:sz="0" w:space="0" w:color="auto"/>
      </w:divBdr>
    </w:div>
    <w:div w:id="1385447659">
      <w:bodyDiv w:val="1"/>
      <w:marLeft w:val="0"/>
      <w:marRight w:val="0"/>
      <w:marTop w:val="0"/>
      <w:marBottom w:val="0"/>
      <w:divBdr>
        <w:top w:val="none" w:sz="0" w:space="0" w:color="auto"/>
        <w:left w:val="none" w:sz="0" w:space="0" w:color="auto"/>
        <w:bottom w:val="none" w:sz="0" w:space="0" w:color="auto"/>
        <w:right w:val="none" w:sz="0" w:space="0" w:color="auto"/>
      </w:divBdr>
      <w:divsChild>
        <w:div w:id="143006864">
          <w:marLeft w:val="0"/>
          <w:marRight w:val="0"/>
          <w:marTop w:val="0"/>
          <w:marBottom w:val="0"/>
          <w:divBdr>
            <w:top w:val="none" w:sz="0" w:space="0" w:color="auto"/>
            <w:left w:val="none" w:sz="0" w:space="0" w:color="auto"/>
            <w:bottom w:val="none" w:sz="0" w:space="0" w:color="auto"/>
            <w:right w:val="none" w:sz="0" w:space="0" w:color="auto"/>
          </w:divBdr>
          <w:divsChild>
            <w:div w:id="1292706181">
              <w:marLeft w:val="0"/>
              <w:marRight w:val="0"/>
              <w:marTop w:val="0"/>
              <w:marBottom w:val="0"/>
              <w:divBdr>
                <w:top w:val="none" w:sz="0" w:space="0" w:color="auto"/>
                <w:left w:val="none" w:sz="0" w:space="0" w:color="auto"/>
                <w:bottom w:val="none" w:sz="0" w:space="0" w:color="auto"/>
                <w:right w:val="none" w:sz="0" w:space="0" w:color="auto"/>
              </w:divBdr>
              <w:divsChild>
                <w:div w:id="1384063172">
                  <w:marLeft w:val="0"/>
                  <w:marRight w:val="0"/>
                  <w:marTop w:val="0"/>
                  <w:marBottom w:val="0"/>
                  <w:divBdr>
                    <w:top w:val="none" w:sz="0" w:space="0" w:color="auto"/>
                    <w:left w:val="none" w:sz="0" w:space="0" w:color="auto"/>
                    <w:bottom w:val="none" w:sz="0" w:space="0" w:color="auto"/>
                    <w:right w:val="none" w:sz="0" w:space="0" w:color="auto"/>
                  </w:divBdr>
                  <w:divsChild>
                    <w:div w:id="401562793">
                      <w:marLeft w:val="0"/>
                      <w:marRight w:val="0"/>
                      <w:marTop w:val="0"/>
                      <w:marBottom w:val="0"/>
                      <w:divBdr>
                        <w:top w:val="none" w:sz="0" w:space="0" w:color="auto"/>
                        <w:left w:val="none" w:sz="0" w:space="0" w:color="auto"/>
                        <w:bottom w:val="none" w:sz="0" w:space="0" w:color="auto"/>
                        <w:right w:val="none" w:sz="0" w:space="0" w:color="auto"/>
                      </w:divBdr>
                      <w:divsChild>
                        <w:div w:id="945650777">
                          <w:marLeft w:val="0"/>
                          <w:marRight w:val="0"/>
                          <w:marTop w:val="0"/>
                          <w:marBottom w:val="0"/>
                          <w:divBdr>
                            <w:top w:val="none" w:sz="0" w:space="0" w:color="auto"/>
                            <w:left w:val="none" w:sz="0" w:space="0" w:color="auto"/>
                            <w:bottom w:val="none" w:sz="0" w:space="0" w:color="auto"/>
                            <w:right w:val="none" w:sz="0" w:space="0" w:color="auto"/>
                          </w:divBdr>
                          <w:divsChild>
                            <w:div w:id="811872034">
                              <w:marLeft w:val="0"/>
                              <w:marRight w:val="0"/>
                              <w:marTop w:val="0"/>
                              <w:marBottom w:val="0"/>
                              <w:divBdr>
                                <w:top w:val="none" w:sz="0" w:space="0" w:color="auto"/>
                                <w:left w:val="none" w:sz="0" w:space="0" w:color="auto"/>
                                <w:bottom w:val="none" w:sz="0" w:space="0" w:color="auto"/>
                                <w:right w:val="none" w:sz="0" w:space="0" w:color="auto"/>
                              </w:divBdr>
                              <w:divsChild>
                                <w:div w:id="1436243433">
                                  <w:marLeft w:val="0"/>
                                  <w:marRight w:val="0"/>
                                  <w:marTop w:val="0"/>
                                  <w:marBottom w:val="0"/>
                                  <w:divBdr>
                                    <w:top w:val="none" w:sz="0" w:space="0" w:color="auto"/>
                                    <w:left w:val="none" w:sz="0" w:space="0" w:color="auto"/>
                                    <w:bottom w:val="none" w:sz="0" w:space="0" w:color="auto"/>
                                    <w:right w:val="none" w:sz="0" w:space="0" w:color="auto"/>
                                  </w:divBdr>
                                </w:div>
                                <w:div w:id="17633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56050">
                  <w:marLeft w:val="0"/>
                  <w:marRight w:val="0"/>
                  <w:marTop w:val="0"/>
                  <w:marBottom w:val="0"/>
                  <w:divBdr>
                    <w:top w:val="none" w:sz="0" w:space="0" w:color="auto"/>
                    <w:left w:val="none" w:sz="0" w:space="0" w:color="auto"/>
                    <w:bottom w:val="none" w:sz="0" w:space="0" w:color="auto"/>
                    <w:right w:val="none" w:sz="0" w:space="0" w:color="auto"/>
                  </w:divBdr>
                  <w:divsChild>
                    <w:div w:id="1302032838">
                      <w:marLeft w:val="0"/>
                      <w:marRight w:val="0"/>
                      <w:marTop w:val="0"/>
                      <w:marBottom w:val="0"/>
                      <w:divBdr>
                        <w:top w:val="none" w:sz="0" w:space="0" w:color="auto"/>
                        <w:left w:val="none" w:sz="0" w:space="0" w:color="auto"/>
                        <w:bottom w:val="none" w:sz="0" w:space="0" w:color="auto"/>
                        <w:right w:val="none" w:sz="0" w:space="0" w:color="auto"/>
                      </w:divBdr>
                      <w:divsChild>
                        <w:div w:id="224881778">
                          <w:marLeft w:val="0"/>
                          <w:marRight w:val="0"/>
                          <w:marTop w:val="0"/>
                          <w:marBottom w:val="0"/>
                          <w:divBdr>
                            <w:top w:val="none" w:sz="0" w:space="0" w:color="auto"/>
                            <w:left w:val="none" w:sz="0" w:space="0" w:color="auto"/>
                            <w:bottom w:val="none" w:sz="0" w:space="0" w:color="auto"/>
                            <w:right w:val="none" w:sz="0" w:space="0" w:color="auto"/>
                          </w:divBdr>
                        </w:div>
                        <w:div w:id="446002475">
                          <w:marLeft w:val="0"/>
                          <w:marRight w:val="0"/>
                          <w:marTop w:val="0"/>
                          <w:marBottom w:val="0"/>
                          <w:divBdr>
                            <w:top w:val="none" w:sz="0" w:space="0" w:color="auto"/>
                            <w:left w:val="none" w:sz="0" w:space="0" w:color="auto"/>
                            <w:bottom w:val="none" w:sz="0" w:space="0" w:color="auto"/>
                            <w:right w:val="none" w:sz="0" w:space="0" w:color="auto"/>
                          </w:divBdr>
                          <w:divsChild>
                            <w:div w:id="122625615">
                              <w:marLeft w:val="0"/>
                              <w:marRight w:val="0"/>
                              <w:marTop w:val="0"/>
                              <w:marBottom w:val="0"/>
                              <w:divBdr>
                                <w:top w:val="none" w:sz="0" w:space="0" w:color="auto"/>
                                <w:left w:val="none" w:sz="0" w:space="0" w:color="auto"/>
                                <w:bottom w:val="none" w:sz="0" w:space="0" w:color="auto"/>
                                <w:right w:val="none" w:sz="0" w:space="0" w:color="auto"/>
                              </w:divBdr>
                            </w:div>
                            <w:div w:id="251940460">
                              <w:marLeft w:val="0"/>
                              <w:marRight w:val="0"/>
                              <w:marTop w:val="0"/>
                              <w:marBottom w:val="0"/>
                              <w:divBdr>
                                <w:top w:val="none" w:sz="0" w:space="0" w:color="auto"/>
                                <w:left w:val="none" w:sz="0" w:space="0" w:color="auto"/>
                                <w:bottom w:val="none" w:sz="0" w:space="0" w:color="auto"/>
                                <w:right w:val="none" w:sz="0" w:space="0" w:color="auto"/>
                              </w:divBdr>
                            </w:div>
                            <w:div w:id="900142771">
                              <w:marLeft w:val="0"/>
                              <w:marRight w:val="0"/>
                              <w:marTop w:val="0"/>
                              <w:marBottom w:val="0"/>
                              <w:divBdr>
                                <w:top w:val="none" w:sz="0" w:space="0" w:color="auto"/>
                                <w:left w:val="none" w:sz="0" w:space="0" w:color="auto"/>
                                <w:bottom w:val="none" w:sz="0" w:space="0" w:color="auto"/>
                                <w:right w:val="none" w:sz="0" w:space="0" w:color="auto"/>
                              </w:divBdr>
                            </w:div>
                            <w:div w:id="1551040816">
                              <w:marLeft w:val="0"/>
                              <w:marRight w:val="0"/>
                              <w:marTop w:val="0"/>
                              <w:marBottom w:val="0"/>
                              <w:divBdr>
                                <w:top w:val="none" w:sz="0" w:space="0" w:color="auto"/>
                                <w:left w:val="none" w:sz="0" w:space="0" w:color="auto"/>
                                <w:bottom w:val="none" w:sz="0" w:space="0" w:color="auto"/>
                                <w:right w:val="none" w:sz="0" w:space="0" w:color="auto"/>
                              </w:divBdr>
                            </w:div>
                            <w:div w:id="1663389729">
                              <w:marLeft w:val="0"/>
                              <w:marRight w:val="0"/>
                              <w:marTop w:val="0"/>
                              <w:marBottom w:val="0"/>
                              <w:divBdr>
                                <w:top w:val="none" w:sz="0" w:space="0" w:color="auto"/>
                                <w:left w:val="none" w:sz="0" w:space="0" w:color="auto"/>
                                <w:bottom w:val="none" w:sz="0" w:space="0" w:color="auto"/>
                                <w:right w:val="none" w:sz="0" w:space="0" w:color="auto"/>
                              </w:divBdr>
                            </w:div>
                          </w:divsChild>
                        </w:div>
                        <w:div w:id="6097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7759">
      <w:bodyDiv w:val="1"/>
      <w:marLeft w:val="0"/>
      <w:marRight w:val="0"/>
      <w:marTop w:val="0"/>
      <w:marBottom w:val="0"/>
      <w:divBdr>
        <w:top w:val="none" w:sz="0" w:space="0" w:color="auto"/>
        <w:left w:val="none" w:sz="0" w:space="0" w:color="auto"/>
        <w:bottom w:val="none" w:sz="0" w:space="0" w:color="auto"/>
        <w:right w:val="none" w:sz="0" w:space="0" w:color="auto"/>
      </w:divBdr>
    </w:div>
    <w:div w:id="1463690615">
      <w:bodyDiv w:val="1"/>
      <w:marLeft w:val="0"/>
      <w:marRight w:val="0"/>
      <w:marTop w:val="0"/>
      <w:marBottom w:val="0"/>
      <w:divBdr>
        <w:top w:val="none" w:sz="0" w:space="0" w:color="auto"/>
        <w:left w:val="none" w:sz="0" w:space="0" w:color="auto"/>
        <w:bottom w:val="none" w:sz="0" w:space="0" w:color="auto"/>
        <w:right w:val="none" w:sz="0" w:space="0" w:color="auto"/>
      </w:divBdr>
    </w:div>
    <w:div w:id="1507018574">
      <w:bodyDiv w:val="1"/>
      <w:marLeft w:val="0"/>
      <w:marRight w:val="0"/>
      <w:marTop w:val="0"/>
      <w:marBottom w:val="0"/>
      <w:divBdr>
        <w:top w:val="none" w:sz="0" w:space="0" w:color="auto"/>
        <w:left w:val="none" w:sz="0" w:space="0" w:color="auto"/>
        <w:bottom w:val="none" w:sz="0" w:space="0" w:color="auto"/>
        <w:right w:val="none" w:sz="0" w:space="0" w:color="auto"/>
      </w:divBdr>
    </w:div>
    <w:div w:id="1518353655">
      <w:bodyDiv w:val="1"/>
      <w:marLeft w:val="0"/>
      <w:marRight w:val="0"/>
      <w:marTop w:val="0"/>
      <w:marBottom w:val="0"/>
      <w:divBdr>
        <w:top w:val="none" w:sz="0" w:space="0" w:color="auto"/>
        <w:left w:val="none" w:sz="0" w:space="0" w:color="auto"/>
        <w:bottom w:val="none" w:sz="0" w:space="0" w:color="auto"/>
        <w:right w:val="none" w:sz="0" w:space="0" w:color="auto"/>
      </w:divBdr>
    </w:div>
    <w:div w:id="1617636099">
      <w:bodyDiv w:val="1"/>
      <w:marLeft w:val="0"/>
      <w:marRight w:val="0"/>
      <w:marTop w:val="0"/>
      <w:marBottom w:val="0"/>
      <w:divBdr>
        <w:top w:val="none" w:sz="0" w:space="0" w:color="auto"/>
        <w:left w:val="none" w:sz="0" w:space="0" w:color="auto"/>
        <w:bottom w:val="none" w:sz="0" w:space="0" w:color="auto"/>
        <w:right w:val="none" w:sz="0" w:space="0" w:color="auto"/>
      </w:divBdr>
    </w:div>
    <w:div w:id="1679116931">
      <w:bodyDiv w:val="1"/>
      <w:marLeft w:val="0"/>
      <w:marRight w:val="0"/>
      <w:marTop w:val="0"/>
      <w:marBottom w:val="0"/>
      <w:divBdr>
        <w:top w:val="none" w:sz="0" w:space="0" w:color="auto"/>
        <w:left w:val="none" w:sz="0" w:space="0" w:color="auto"/>
        <w:bottom w:val="none" w:sz="0" w:space="0" w:color="auto"/>
        <w:right w:val="none" w:sz="0" w:space="0" w:color="auto"/>
      </w:divBdr>
    </w:div>
    <w:div w:id="1713845055">
      <w:bodyDiv w:val="1"/>
      <w:marLeft w:val="0"/>
      <w:marRight w:val="0"/>
      <w:marTop w:val="0"/>
      <w:marBottom w:val="0"/>
      <w:divBdr>
        <w:top w:val="none" w:sz="0" w:space="0" w:color="auto"/>
        <w:left w:val="none" w:sz="0" w:space="0" w:color="auto"/>
        <w:bottom w:val="none" w:sz="0" w:space="0" w:color="auto"/>
        <w:right w:val="none" w:sz="0" w:space="0" w:color="auto"/>
      </w:divBdr>
    </w:div>
    <w:div w:id="1715227197">
      <w:bodyDiv w:val="1"/>
      <w:marLeft w:val="0"/>
      <w:marRight w:val="0"/>
      <w:marTop w:val="0"/>
      <w:marBottom w:val="0"/>
      <w:divBdr>
        <w:top w:val="none" w:sz="0" w:space="0" w:color="auto"/>
        <w:left w:val="none" w:sz="0" w:space="0" w:color="auto"/>
        <w:bottom w:val="none" w:sz="0" w:space="0" w:color="auto"/>
        <w:right w:val="none" w:sz="0" w:space="0" w:color="auto"/>
      </w:divBdr>
      <w:divsChild>
        <w:div w:id="565653870">
          <w:marLeft w:val="0"/>
          <w:marRight w:val="0"/>
          <w:marTop w:val="0"/>
          <w:marBottom w:val="0"/>
          <w:divBdr>
            <w:top w:val="none" w:sz="0" w:space="0" w:color="auto"/>
            <w:left w:val="none" w:sz="0" w:space="0" w:color="auto"/>
            <w:bottom w:val="none" w:sz="0" w:space="0" w:color="auto"/>
            <w:right w:val="none" w:sz="0" w:space="0" w:color="auto"/>
          </w:divBdr>
          <w:divsChild>
            <w:div w:id="288049715">
              <w:marLeft w:val="0"/>
              <w:marRight w:val="0"/>
              <w:marTop w:val="0"/>
              <w:marBottom w:val="0"/>
              <w:divBdr>
                <w:top w:val="none" w:sz="0" w:space="0" w:color="auto"/>
                <w:left w:val="none" w:sz="0" w:space="0" w:color="auto"/>
                <w:bottom w:val="none" w:sz="0" w:space="0" w:color="auto"/>
                <w:right w:val="none" w:sz="0" w:space="0" w:color="auto"/>
              </w:divBdr>
              <w:divsChild>
                <w:div w:id="1848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8153">
      <w:bodyDiv w:val="1"/>
      <w:marLeft w:val="0"/>
      <w:marRight w:val="0"/>
      <w:marTop w:val="0"/>
      <w:marBottom w:val="0"/>
      <w:divBdr>
        <w:top w:val="none" w:sz="0" w:space="0" w:color="auto"/>
        <w:left w:val="none" w:sz="0" w:space="0" w:color="auto"/>
        <w:bottom w:val="none" w:sz="0" w:space="0" w:color="auto"/>
        <w:right w:val="none" w:sz="0" w:space="0" w:color="auto"/>
      </w:divBdr>
    </w:div>
    <w:div w:id="1787113899">
      <w:bodyDiv w:val="1"/>
      <w:marLeft w:val="0"/>
      <w:marRight w:val="0"/>
      <w:marTop w:val="0"/>
      <w:marBottom w:val="0"/>
      <w:divBdr>
        <w:top w:val="none" w:sz="0" w:space="0" w:color="auto"/>
        <w:left w:val="none" w:sz="0" w:space="0" w:color="auto"/>
        <w:bottom w:val="none" w:sz="0" w:space="0" w:color="auto"/>
        <w:right w:val="none" w:sz="0" w:space="0" w:color="auto"/>
      </w:divBdr>
    </w:div>
    <w:div w:id="1834955179">
      <w:bodyDiv w:val="1"/>
      <w:marLeft w:val="0"/>
      <w:marRight w:val="0"/>
      <w:marTop w:val="0"/>
      <w:marBottom w:val="0"/>
      <w:divBdr>
        <w:top w:val="none" w:sz="0" w:space="0" w:color="auto"/>
        <w:left w:val="none" w:sz="0" w:space="0" w:color="auto"/>
        <w:bottom w:val="none" w:sz="0" w:space="0" w:color="auto"/>
        <w:right w:val="none" w:sz="0" w:space="0" w:color="auto"/>
      </w:divBdr>
    </w:div>
    <w:div w:id="1954705994">
      <w:bodyDiv w:val="1"/>
      <w:marLeft w:val="0"/>
      <w:marRight w:val="0"/>
      <w:marTop w:val="0"/>
      <w:marBottom w:val="0"/>
      <w:divBdr>
        <w:top w:val="none" w:sz="0" w:space="0" w:color="auto"/>
        <w:left w:val="none" w:sz="0" w:space="0" w:color="auto"/>
        <w:bottom w:val="none" w:sz="0" w:space="0" w:color="auto"/>
        <w:right w:val="none" w:sz="0" w:space="0" w:color="auto"/>
      </w:divBdr>
    </w:div>
    <w:div w:id="1982926234">
      <w:bodyDiv w:val="1"/>
      <w:marLeft w:val="0"/>
      <w:marRight w:val="0"/>
      <w:marTop w:val="0"/>
      <w:marBottom w:val="0"/>
      <w:divBdr>
        <w:top w:val="none" w:sz="0" w:space="0" w:color="auto"/>
        <w:left w:val="none" w:sz="0" w:space="0" w:color="auto"/>
        <w:bottom w:val="none" w:sz="0" w:space="0" w:color="auto"/>
        <w:right w:val="none" w:sz="0" w:space="0" w:color="auto"/>
      </w:divBdr>
    </w:div>
    <w:div w:id="2011640343">
      <w:bodyDiv w:val="1"/>
      <w:marLeft w:val="0"/>
      <w:marRight w:val="0"/>
      <w:marTop w:val="0"/>
      <w:marBottom w:val="0"/>
      <w:divBdr>
        <w:top w:val="none" w:sz="0" w:space="0" w:color="auto"/>
        <w:left w:val="none" w:sz="0" w:space="0" w:color="auto"/>
        <w:bottom w:val="none" w:sz="0" w:space="0" w:color="auto"/>
        <w:right w:val="none" w:sz="0" w:space="0" w:color="auto"/>
      </w:divBdr>
    </w:div>
    <w:div w:id="2013988392">
      <w:bodyDiv w:val="1"/>
      <w:marLeft w:val="0"/>
      <w:marRight w:val="0"/>
      <w:marTop w:val="0"/>
      <w:marBottom w:val="0"/>
      <w:divBdr>
        <w:top w:val="none" w:sz="0" w:space="0" w:color="auto"/>
        <w:left w:val="none" w:sz="0" w:space="0" w:color="auto"/>
        <w:bottom w:val="none" w:sz="0" w:space="0" w:color="auto"/>
        <w:right w:val="none" w:sz="0" w:space="0" w:color="auto"/>
      </w:divBdr>
    </w:div>
    <w:div w:id="20610533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Entreprise" TargetMode="External"/><Relationship Id="rId117" Type="http://schemas.openxmlformats.org/officeDocument/2006/relationships/hyperlink" Target="http://fr.wikipedia.org/wiki/Remise_%28comptabilit%C3%A9%29" TargetMode="External"/><Relationship Id="rId21" Type="http://schemas.openxmlformats.org/officeDocument/2006/relationships/hyperlink" Target="http://fr.wikipedia.org/wiki/Premier_ressort" TargetMode="External"/><Relationship Id="rId42"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47"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3" Type="http://schemas.microsoft.com/office/2007/relationships/hdphoto" Target="media/hdphoto2.wdp"/><Relationship Id="rId68"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84" Type="http://schemas.openxmlformats.org/officeDocument/2006/relationships/hyperlink" Target="http://fr.wikipedia.org/wiki/Th%C3%A9orie_du_chaos" TargetMode="External"/><Relationship Id="rId89" Type="http://schemas.openxmlformats.org/officeDocument/2006/relationships/image" Target="media/image9.jpeg"/><Relationship Id="rId112" Type="http://schemas.openxmlformats.org/officeDocument/2006/relationships/hyperlink" Target="https://erickirsch.be/ledrco/nom_commercial_logo_marque.pdf" TargetMode="External"/><Relationship Id="rId133" Type="http://schemas.openxmlformats.org/officeDocument/2006/relationships/hyperlink" Target="http://fr.wikipedia.org/wiki/Free_On_Board" TargetMode="External"/><Relationship Id="rId138" Type="http://schemas.openxmlformats.org/officeDocument/2006/relationships/hyperlink" Target="http://www.erickirsch.be/ledrco/contrats.pdf" TargetMode="External"/><Relationship Id="rId154" Type="http://schemas.openxmlformats.org/officeDocument/2006/relationships/hyperlink" Target="http://www.amedia-offshore.com/fr/?gclid=CKDq1dmLupkCFQo1QwodRGAQ5A" TargetMode="External"/><Relationship Id="rId159" Type="http://schemas.openxmlformats.org/officeDocument/2006/relationships/hyperlink" Target="http://www.erickirsch.be/ledrco/phenix.pdf" TargetMode="External"/><Relationship Id="rId175" Type="http://schemas.openxmlformats.org/officeDocument/2006/relationships/hyperlink" Target="http://goo.gl/pbPpp" TargetMode="External"/><Relationship Id="rId170" Type="http://schemas.openxmlformats.org/officeDocument/2006/relationships/hyperlink" Target="http://goo.gl/JATcI" TargetMode="External"/><Relationship Id="rId16" Type="http://schemas.openxmlformats.org/officeDocument/2006/relationships/hyperlink" Target="http://www.belgium.be/fr/justice/organisation/tribunaux/" TargetMode="External"/><Relationship Id="rId107" Type="http://schemas.openxmlformats.org/officeDocument/2006/relationships/hyperlink" Target="file:///C:\Users\Eric\SkyDrive\Enseignement\Local%20Settings\Temp\Temporary%20Directory%201%20for%20skydrive-2013-03-12.zip\Une%20gu&#233;guerre%20entre%20deux%20laitiers%20de%20Mariakerke" TargetMode="External"/><Relationship Id="rId11" Type="http://schemas.openxmlformats.org/officeDocument/2006/relationships/hyperlink" Target="http://kirsch.c.la" TargetMode="External"/><Relationship Id="rId32" Type="http://schemas.openxmlformats.org/officeDocument/2006/relationships/hyperlink" Target="http://fr.wikipedia.org/wiki/Arrondissement_judiciaire_de_Belgique" TargetMode="External"/><Relationship Id="rId37"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3"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8"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74" Type="http://schemas.openxmlformats.org/officeDocument/2006/relationships/hyperlink" Target="http://fr.wikipedia.org/wiki/Milton_Friedman" TargetMode="External"/><Relationship Id="rId79" Type="http://schemas.openxmlformats.org/officeDocument/2006/relationships/hyperlink" Target="http://fr.wikipedia.org/wiki/March%C3%A9_financier" TargetMode="External"/><Relationship Id="rId102" Type="http://schemas.openxmlformats.org/officeDocument/2006/relationships/image" Target="media/image16.jpeg"/><Relationship Id="rId123" Type="http://schemas.openxmlformats.org/officeDocument/2006/relationships/image" Target="media/image18.jpeg"/><Relationship Id="rId128" Type="http://schemas.openxmlformats.org/officeDocument/2006/relationships/hyperlink" Target="http://fr.wikipedia.org/wiki/Carriage_and_Insurance_Paid_to" TargetMode="External"/><Relationship Id="rId144" Type="http://schemas.openxmlformats.org/officeDocument/2006/relationships/hyperlink" Target="https://www.youtube.com/watch?v=y97rBdSYbkg" TargetMode="External"/><Relationship Id="rId149" Type="http://schemas.openxmlformats.org/officeDocument/2006/relationships/hyperlink" Target="http://fr.wikipedia.org/wiki/Paradis_fiscaux" TargetMode="External"/><Relationship Id="rId5" Type="http://schemas.openxmlformats.org/officeDocument/2006/relationships/settings" Target="settings.xml"/><Relationship Id="rId90" Type="http://schemas.openxmlformats.org/officeDocument/2006/relationships/image" Target="media/image10.wmf"/><Relationship Id="rId95" Type="http://schemas.openxmlformats.org/officeDocument/2006/relationships/image" Target="media/image12.jpeg"/><Relationship Id="rId160" Type="http://schemas.openxmlformats.org/officeDocument/2006/relationships/hyperlink" Target="http://erickirsch.be/ledrco/faillite_2017.docx" TargetMode="External"/><Relationship Id="rId165" Type="http://schemas.openxmlformats.org/officeDocument/2006/relationships/hyperlink" Target="mailto:valery.vermeulen@vancutsem.be" TargetMode="External"/><Relationship Id="rId22" Type="http://schemas.openxmlformats.org/officeDocument/2006/relationships/hyperlink" Target="http://fr.wikipedia.org/wiki/Justice" TargetMode="External"/><Relationship Id="rId27" Type="http://schemas.openxmlformats.org/officeDocument/2006/relationships/hyperlink" Target="http://fr.wikipedia.org/wiki/Lettre_de_change" TargetMode="External"/><Relationship Id="rId43" Type="http://schemas.openxmlformats.org/officeDocument/2006/relationships/hyperlink" Target="http://www.ejustice.just.fgov.be/cgi_loi/change_lg.pl?language=fr&amp;amp;la=F&amp;amp;table_name=loi&amp;amp;cn=2008071844" TargetMode="External"/><Relationship Id="rId48"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4" Type="http://schemas.openxmlformats.org/officeDocument/2006/relationships/hyperlink" Target="http://fr.wikipedia.org/wiki/Fonds_de_commerce" TargetMode="External"/><Relationship Id="rId69"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113" Type="http://schemas.openxmlformats.org/officeDocument/2006/relationships/hyperlink" Target="http://economie.fgov.be/fr/entreprises/propriete_intellectuelle/droit_d_auteur/protection_oeuvres/la_protection" TargetMode="External"/><Relationship Id="rId118" Type="http://schemas.openxmlformats.org/officeDocument/2006/relationships/hyperlink" Target="http://fr.wikipedia.org/wiki/Rabais" TargetMode="External"/><Relationship Id="rId134" Type="http://schemas.openxmlformats.org/officeDocument/2006/relationships/hyperlink" Target="http://fr.wikipedia.org/wiki/Cost_and_Freight" TargetMode="External"/><Relationship Id="rId139" Type="http://schemas.openxmlformats.org/officeDocument/2006/relationships/hyperlink" Target="http://www.erickirsch.be/ledrco/contrats.pdf" TargetMode="External"/><Relationship Id="rId80" Type="http://schemas.openxmlformats.org/officeDocument/2006/relationships/hyperlink" Target="http://fr.wikipedia.org/wiki/Mon%C3%A9tarisme" TargetMode="External"/><Relationship Id="rId85" Type="http://schemas.openxmlformats.org/officeDocument/2006/relationships/hyperlink" Target="http://fr.wikipedia.org/wiki/Effet_papillon" TargetMode="External"/><Relationship Id="rId150" Type="http://schemas.openxmlformats.org/officeDocument/2006/relationships/hyperlink" Target="http://www.paradisfiscaux20.com/" TargetMode="External"/><Relationship Id="rId155" Type="http://schemas.openxmlformats.org/officeDocument/2006/relationships/hyperlink" Target="http://fr.wikipedia.org/wiki/Guernesey" TargetMode="External"/><Relationship Id="rId171" Type="http://schemas.openxmlformats.org/officeDocument/2006/relationships/hyperlink" Target="http://goo.gl/qxIGu" TargetMode="External"/><Relationship Id="rId176" Type="http://schemas.openxmlformats.org/officeDocument/2006/relationships/hyperlink" Target="http://goo.gl/XENlq" TargetMode="External"/><Relationship Id="rId12" Type="http://schemas.openxmlformats.org/officeDocument/2006/relationships/image" Target="media/image3.jpeg"/><Relationship Id="rId17" Type="http://schemas.openxmlformats.org/officeDocument/2006/relationships/hyperlink" Target="http://users.skynet.be/avocats/droitcom.htm" TargetMode="External"/><Relationship Id="rId33" Type="http://schemas.openxmlformats.org/officeDocument/2006/relationships/hyperlink" Target="http://www.erickirsch.be/ledrco/regimes_fiscaux.xls" TargetMode="External"/><Relationship Id="rId38"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9"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103" Type="http://schemas.openxmlformats.org/officeDocument/2006/relationships/image" Target="media/image17.png"/><Relationship Id="rId108" Type="http://schemas.openxmlformats.org/officeDocument/2006/relationships/hyperlink" Target="file:///C:\Users\Eric\SkyDrive\Enseignement\Local%20Settings\Temp\Temporary%20Directory%201%20for%20skydrive-2013-03-12.zip\bpost%20punie%20pour%20concurrence%20d&#233;loyale" TargetMode="External"/><Relationship Id="rId124" Type="http://schemas.openxmlformats.org/officeDocument/2006/relationships/image" Target="media/image19.jpeg"/><Relationship Id="rId129" Type="http://schemas.openxmlformats.org/officeDocument/2006/relationships/hyperlink" Target="http://fr.wikipedia.org/w/index.php?title=Delivered_At_Terminal&amp;action=edit&amp;redlink=1" TargetMode="External"/><Relationship Id="rId54"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70"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75" Type="http://schemas.openxmlformats.org/officeDocument/2006/relationships/image" Target="media/image7.png"/><Relationship Id="rId91" Type="http://schemas.openxmlformats.org/officeDocument/2006/relationships/image" Target="media/image11.jpeg"/><Relationship Id="rId96" Type="http://schemas.openxmlformats.org/officeDocument/2006/relationships/image" Target="media/image13.jpeg"/><Relationship Id="rId140" Type="http://schemas.openxmlformats.org/officeDocument/2006/relationships/hyperlink" Target="http://www.erickirsch.be/ledrco/piege_suisse.pdf" TargetMode="External"/><Relationship Id="rId145" Type="http://schemas.openxmlformats.org/officeDocument/2006/relationships/image" Target="media/image20.emf"/><Relationship Id="rId161" Type="http://schemas.openxmlformats.org/officeDocument/2006/relationships/hyperlink" Target="http://goo.gl/ILzH0" TargetMode="External"/><Relationship Id="rId166" Type="http://schemas.openxmlformats.org/officeDocument/2006/relationships/hyperlink" Target="http://goo.gl/T83S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fr.wikipedia.org/wiki/Loi" TargetMode="External"/><Relationship Id="rId28" Type="http://schemas.openxmlformats.org/officeDocument/2006/relationships/hyperlink" Target="http://fr.wikipedia.org/wiki/Billet_%C3%A0_ordre" TargetMode="External"/><Relationship Id="rId49"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114" Type="http://schemas.openxmlformats.org/officeDocument/2006/relationships/hyperlink" Target="http://economie.fgov.be/fr/entreprises/propriete_intellectuelle/droit_d_auteur/protection_oeuvres/la_protection" TargetMode="External"/><Relationship Id="rId119" Type="http://schemas.openxmlformats.org/officeDocument/2006/relationships/hyperlink" Target="http://fr.wikipedia.org/wiki/Ristourne" TargetMode="External"/><Relationship Id="rId10" Type="http://schemas.openxmlformats.org/officeDocument/2006/relationships/image" Target="media/image2.jpeg"/><Relationship Id="rId31" Type="http://schemas.openxmlformats.org/officeDocument/2006/relationships/hyperlink" Target="http://fr.wikipedia.org/w/index.php?title=Pr%C3%A9sident_de_tribunal&amp;amp;action=edit&amp;amp;redlink=1" TargetMode="External"/><Relationship Id="rId44"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2"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0" Type="http://schemas.openxmlformats.org/officeDocument/2006/relationships/image" Target="media/image5.png"/><Relationship Id="rId65"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73" Type="http://schemas.openxmlformats.org/officeDocument/2006/relationships/hyperlink" Target="http://fr.wikipedia.org/wiki/Mon%C3%A9tarisme" TargetMode="External"/><Relationship Id="rId78" Type="http://schemas.openxmlformats.org/officeDocument/2006/relationships/hyperlink" Target="http://fr.wikipedia.org/wiki/March%C3%A9_Mon%C3%A9taire" TargetMode="External"/><Relationship Id="rId81" Type="http://schemas.openxmlformats.org/officeDocument/2006/relationships/hyperlink" Target="http://fr.wikipedia.org/wiki/Milton_Friedman" TargetMode="External"/><Relationship Id="rId86" Type="http://schemas.openxmlformats.org/officeDocument/2006/relationships/hyperlink" Target="http://fr.wikipedia.org/wiki/Fractale" TargetMode="External"/><Relationship Id="rId94" Type="http://schemas.openxmlformats.org/officeDocument/2006/relationships/hyperlink" Target="http://fr.wikipedia.org/wiki/B%C3%A2le_II" TargetMode="External"/><Relationship Id="rId99" Type="http://schemas.openxmlformats.org/officeDocument/2006/relationships/hyperlink" Target="http://www.cofidis.com/CofidisCom/SHARED/d4m10y2004h18m18s9m93.pdf" TargetMode="External"/><Relationship Id="rId101" Type="http://schemas.openxmlformats.org/officeDocument/2006/relationships/image" Target="media/image15.jpeg"/><Relationship Id="rId122" Type="http://schemas.openxmlformats.org/officeDocument/2006/relationships/hyperlink" Target="http://www.becompta.be/modules/dictionnaire/140-comptable-note-de-credit.html" TargetMode="External"/><Relationship Id="rId130" Type="http://schemas.openxmlformats.org/officeDocument/2006/relationships/hyperlink" Target="http://fr.wikipedia.org/w/index.php?title=Delivered_At_Place&amp;action=edit&amp;redlink=1" TargetMode="External"/><Relationship Id="rId135" Type="http://schemas.openxmlformats.org/officeDocument/2006/relationships/hyperlink" Target="http://fr.wikipedia.org/wiki/Cost,_Insurance_and_Freight" TargetMode="External"/><Relationship Id="rId143" Type="http://schemas.openxmlformats.org/officeDocument/2006/relationships/footer" Target="footer1.xml"/><Relationship Id="rId148" Type="http://schemas.openxmlformats.org/officeDocument/2006/relationships/hyperlink" Target="http://fr.wikipedia.org/wiki/Panama" TargetMode="External"/><Relationship Id="rId151" Type="http://schemas.openxmlformats.org/officeDocument/2006/relationships/hyperlink" Target="http://fr.wikipedia.org/wiki/Paradis_financier" TargetMode="External"/><Relationship Id="rId156" Type="http://schemas.openxmlformats.org/officeDocument/2006/relationships/hyperlink" Target="http://www.ubs.com/1/f/index.html" TargetMode="External"/><Relationship Id="rId164" Type="http://schemas.openxmlformats.org/officeDocument/2006/relationships/hyperlink" Target="mailto:valery.vermeulen@vancutsem.be" TargetMode="External"/><Relationship Id="rId169" Type="http://schemas.openxmlformats.org/officeDocument/2006/relationships/hyperlink" Target="http://goo.gl/hkgVs" TargetMode="External"/><Relationship Id="rId177" Type="http://schemas.openxmlformats.org/officeDocument/2006/relationships/hyperlink" Target="http://goo.gl/3vfHG"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blog.sedlex.be/?tag=concurrence-deloyale" TargetMode="External"/><Relationship Id="rId180" Type="http://schemas.openxmlformats.org/officeDocument/2006/relationships/theme" Target="theme/theme1.xml"/><Relationship Id="rId13" Type="http://schemas.openxmlformats.org/officeDocument/2006/relationships/hyperlink" Target="http://www.juridat.be/pyramide_fr2.php" TargetMode="External"/><Relationship Id="rId18" Type="http://schemas.openxmlformats.org/officeDocument/2006/relationships/hyperlink" Target="http://users.skynet.be/avocats/lasca.htm" TargetMode="External"/><Relationship Id="rId39"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109" Type="http://schemas.openxmlformats.org/officeDocument/2006/relationships/hyperlink" Target="https://tinyurl.com/jjq78jd" TargetMode="External"/><Relationship Id="rId34"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0"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5"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76" Type="http://schemas.openxmlformats.org/officeDocument/2006/relationships/hyperlink" Target="http://fr.wikipedia.org/wiki/John_Maynard_Keynes" TargetMode="External"/><Relationship Id="rId97" Type="http://schemas.openxmlformats.org/officeDocument/2006/relationships/image" Target="media/image14.jpeg"/><Relationship Id="rId104" Type="http://schemas.openxmlformats.org/officeDocument/2006/relationships/hyperlink" Target="http://www.erickirsch.be/ledrco/garanties_mekhdor.pptx" TargetMode="External"/><Relationship Id="rId120" Type="http://schemas.openxmlformats.org/officeDocument/2006/relationships/hyperlink" Target="http://fr.wikipedia.org/wiki/Escompte" TargetMode="External"/><Relationship Id="rId125" Type="http://schemas.openxmlformats.org/officeDocument/2006/relationships/hyperlink" Target="http://fr.wikipedia.org/wiki/Ex_Works" TargetMode="External"/><Relationship Id="rId141" Type="http://schemas.openxmlformats.org/officeDocument/2006/relationships/hyperlink" Target="http://www.erickirsch.be/ledrco/piege_suisse.pdf" TargetMode="External"/><Relationship Id="rId146" Type="http://schemas.openxmlformats.org/officeDocument/2006/relationships/hyperlink" Target="http://fr.wikipedia.org/wiki/Campione_d'Italia" TargetMode="External"/><Relationship Id="rId167" Type="http://schemas.openxmlformats.org/officeDocument/2006/relationships/hyperlink" Target="http://goo.gl/m8oZE" TargetMode="External"/><Relationship Id="rId7" Type="http://schemas.openxmlformats.org/officeDocument/2006/relationships/footnotes" Target="footnotes.xml"/><Relationship Id="rId71"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92" Type="http://schemas.openxmlformats.org/officeDocument/2006/relationships/hyperlink" Target="http://www.abb-bvb.be/edu/fr/mod001/art_risques.html" TargetMode="External"/><Relationship Id="rId162" Type="http://schemas.openxmlformats.org/officeDocument/2006/relationships/hyperlink" Target="mailto:pb@vancutsem.be" TargetMode="External"/><Relationship Id="rId2" Type="http://schemas.openxmlformats.org/officeDocument/2006/relationships/numbering" Target="numbering.xml"/><Relationship Id="rId29" Type="http://schemas.openxmlformats.org/officeDocument/2006/relationships/hyperlink" Target="http://fr.wikipedia.org/wiki/Appel" TargetMode="External"/><Relationship Id="rId24" Type="http://schemas.openxmlformats.org/officeDocument/2006/relationships/hyperlink" Target="http://fr.wikipedia.org/wiki/Justice_de_paix_en_Belgique" TargetMode="External"/><Relationship Id="rId40"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45"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6"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87" Type="http://schemas.openxmlformats.org/officeDocument/2006/relationships/hyperlink" Target="http://fr.wikipedia.org/wiki/Beno%C3%AEt_Mandelbrot" TargetMode="External"/><Relationship Id="rId110" Type="http://schemas.openxmlformats.org/officeDocument/2006/relationships/hyperlink" Target="https://tinyurl.com/jcuufzj" TargetMode="External"/><Relationship Id="rId115" Type="http://schemas.openxmlformats.org/officeDocument/2006/relationships/hyperlink" Target="http://www.droitbelge.be/contrats/AC_contrat_de_travail.pdf" TargetMode="External"/><Relationship Id="rId131" Type="http://schemas.openxmlformats.org/officeDocument/2006/relationships/hyperlink" Target="http://fr.wikipedia.org/wiki/Delivered_Duty_Paid" TargetMode="External"/><Relationship Id="rId136" Type="http://schemas.openxmlformats.org/officeDocument/2006/relationships/hyperlink" Target="http://fr.wikipedia.org/wiki/Freinte" TargetMode="External"/><Relationship Id="rId157" Type="http://schemas.openxmlformats.org/officeDocument/2006/relationships/hyperlink" Target="http://www.kleinwalsertal.com/" TargetMode="External"/><Relationship Id="rId178" Type="http://schemas.openxmlformats.org/officeDocument/2006/relationships/hyperlink" Target="http://fr.wikipedia.org/wiki/Droit" TargetMode="External"/><Relationship Id="rId61" Type="http://schemas.microsoft.com/office/2007/relationships/hdphoto" Target="media/hdphoto1.wdp"/><Relationship Id="rId82" Type="http://schemas.openxmlformats.org/officeDocument/2006/relationships/hyperlink" Target="http://fr.wikipedia.org/wiki/Raymond_Barre" TargetMode="External"/><Relationship Id="rId152" Type="http://schemas.openxmlformats.org/officeDocument/2006/relationships/hyperlink" Target="http://www.tlfq.ulaval.ca/axl/amsudant/caimanes.htm" TargetMode="External"/><Relationship Id="rId173" Type="http://schemas.openxmlformats.org/officeDocument/2006/relationships/hyperlink" Target="http://www.juridat.be" TargetMode="External"/><Relationship Id="rId19" Type="http://schemas.openxmlformats.org/officeDocument/2006/relationships/hyperlink" Target="http://www.avocats-legalex-namur.be/introduction-droit/sources-droit.html" TargetMode="External"/><Relationship Id="rId14" Type="http://schemas.openxmlformats.org/officeDocument/2006/relationships/image" Target="media/image4.jpeg"/><Relationship Id="rId30" Type="http://schemas.openxmlformats.org/officeDocument/2006/relationships/hyperlink" Target="http://fr.wikipedia.org/w/index.php?title=Jugement_%28judiciaire%29&amp;amp;action=edit&amp;amp;redlink=1" TargetMode="External"/><Relationship Id="rId35"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6"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77" Type="http://schemas.openxmlformats.org/officeDocument/2006/relationships/image" Target="media/image8.wmf"/><Relationship Id="rId100" Type="http://schemas.openxmlformats.org/officeDocument/2006/relationships/hyperlink" Target="http://erickirsch.be/ledrco/credits_entreprises.ppt" TargetMode="External"/><Relationship Id="rId105" Type="http://schemas.openxmlformats.org/officeDocument/2006/relationships/hyperlink" Target="https://erickirsch.be/ledrco/pratiques_interdites.docx" TargetMode="External"/><Relationship Id="rId126" Type="http://schemas.openxmlformats.org/officeDocument/2006/relationships/hyperlink" Target="http://fr.wikipedia.org/wiki/Free_Carrier" TargetMode="External"/><Relationship Id="rId147" Type="http://schemas.openxmlformats.org/officeDocument/2006/relationships/hyperlink" Target="http://fr.wikipedia.org/wiki/Campione_d'Italia" TargetMode="External"/><Relationship Id="rId168" Type="http://schemas.openxmlformats.org/officeDocument/2006/relationships/hyperlink" Target="http://goo.gl/koVVz" TargetMode="External"/><Relationship Id="rId8" Type="http://schemas.openxmlformats.org/officeDocument/2006/relationships/endnotes" Target="endnotes.xml"/><Relationship Id="rId51"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72" Type="http://schemas.openxmlformats.org/officeDocument/2006/relationships/hyperlink" Target="http://fr.wikipedia.org/wiki/Keyn%C3%A9sianisme" TargetMode="External"/><Relationship Id="rId93" Type="http://schemas.openxmlformats.org/officeDocument/2006/relationships/hyperlink" Target="http://www.oecd.org/dataoecd/13/32/19515766.pdf" TargetMode="External"/><Relationship Id="rId98" Type="http://schemas.openxmlformats.org/officeDocument/2006/relationships/hyperlink" Target="http://www.cofidis.com/CofidisCom/SHARED/d4m10y2004h18m18s9m93.pdf" TargetMode="External"/><Relationship Id="rId121" Type="http://schemas.openxmlformats.org/officeDocument/2006/relationships/hyperlink" Target="http://fr.wikipedia.org/wiki/Note_de_d%C3%A9bit" TargetMode="External"/><Relationship Id="rId142" Type="http://schemas.openxmlformats.org/officeDocument/2006/relationships/header" Target="header1.xml"/><Relationship Id="rId163" Type="http://schemas.openxmlformats.org/officeDocument/2006/relationships/hyperlink" Target="mailto:pb@vancutsem.be" TargetMode="External"/><Relationship Id="rId3" Type="http://schemas.openxmlformats.org/officeDocument/2006/relationships/styles" Target="styles.xml"/><Relationship Id="rId25" Type="http://schemas.openxmlformats.org/officeDocument/2006/relationships/hyperlink" Target="http://fr.wikipedia.org/wiki/Faillite" TargetMode="External"/><Relationship Id="rId46"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7" Type="http://schemas.openxmlformats.org/officeDocument/2006/relationships/hyperlink" Target="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 TargetMode="External"/><Relationship Id="rId116" Type="http://schemas.openxmlformats.org/officeDocument/2006/relationships/hyperlink" Target="http://fr.wikipedia.org/wiki/Cr%C3%A9dit_%C3%A0_la_consommation" TargetMode="External"/><Relationship Id="rId137" Type="http://schemas.openxmlformats.org/officeDocument/2006/relationships/hyperlink" Target="http://fr.wikipedia.org/wiki/R%C3%A9faction" TargetMode="External"/><Relationship Id="rId158" Type="http://schemas.openxmlformats.org/officeDocument/2006/relationships/hyperlink" Target="http://kirsch.c.la" TargetMode="External"/><Relationship Id="rId20" Type="http://schemas.openxmlformats.org/officeDocument/2006/relationships/hyperlink" Target="http://fr.wikipedia.org/wiki/Tribunal_de_commerce_%28Belgique%29" TargetMode="External"/><Relationship Id="rId41"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62" Type="http://schemas.openxmlformats.org/officeDocument/2006/relationships/image" Target="media/image6.png"/><Relationship Id="rId83" Type="http://schemas.openxmlformats.org/officeDocument/2006/relationships/hyperlink" Target="http://fr.wikipedia.org/wiki/N%C3%A9o-keyn%C3%A9sianisme" TargetMode="External"/><Relationship Id="rId88" Type="http://schemas.openxmlformats.org/officeDocument/2006/relationships/hyperlink" Target="http://www.dailymotion.com/video/xnbnpg_voyage-en-fractales_webcam" TargetMode="External"/><Relationship Id="rId111" Type="http://schemas.openxmlformats.org/officeDocument/2006/relationships/hyperlink" Target="http://www.droitbelge.be/propriete_intellectuelle.asp" TargetMode="External"/><Relationship Id="rId132" Type="http://schemas.openxmlformats.org/officeDocument/2006/relationships/hyperlink" Target="http://fr.wikipedia.org/wiki/Free_Alongside_Ship" TargetMode="External"/><Relationship Id="rId153" Type="http://schemas.openxmlformats.org/officeDocument/2006/relationships/hyperlink" Target="http://local.attac.org/13/documents/doc09.htm" TargetMode="External"/><Relationship Id="rId174" Type="http://schemas.openxmlformats.org/officeDocument/2006/relationships/hyperlink" Target="http://goo.gl/ziYki" TargetMode="External"/><Relationship Id="rId179" Type="http://schemas.openxmlformats.org/officeDocument/2006/relationships/fontTable" Target="fontTable.xml"/><Relationship Id="rId15" Type="http://schemas.openxmlformats.org/officeDocument/2006/relationships/hyperlink" Target="http://www.juridat.be" TargetMode="External"/><Relationship Id="rId36"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57" Type="http://schemas.openxmlformats.org/officeDocument/2006/relationships/hyperlink" Target="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 TargetMode="External"/><Relationship Id="rId106" Type="http://schemas.openxmlformats.org/officeDocument/2006/relationships/hyperlink" Target="http://www.rtl.be/info/economie/monde/860986/enquete-ikea-une-societe-de-surete-dement-tout-acte-frauduleux" TargetMode="External"/><Relationship Id="rId127" Type="http://schemas.openxmlformats.org/officeDocument/2006/relationships/hyperlink" Target="http://fr.wikipedia.org/wiki/Carriage_Paid_T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Besoin_en_fonds_de_roulement" TargetMode="External"/><Relationship Id="rId13" Type="http://schemas.openxmlformats.org/officeDocument/2006/relationships/hyperlink" Target="https://www.kickstarter.com/" TargetMode="External"/><Relationship Id="rId18" Type="http://schemas.openxmlformats.org/officeDocument/2006/relationships/hyperlink" Target="http://goo.gl/vOznE" TargetMode="External"/><Relationship Id="rId26" Type="http://schemas.openxmlformats.org/officeDocument/2006/relationships/hyperlink" Target="mailto:pb@vancutsem.be" TargetMode="External"/><Relationship Id="rId3" Type="http://schemas.openxmlformats.org/officeDocument/2006/relationships/hyperlink" Target="http://fr.wikipedia.org/wiki/Droit" TargetMode="External"/><Relationship Id="rId21" Type="http://schemas.openxmlformats.org/officeDocument/2006/relationships/hyperlink" Target="http://goo.gl/XENlq" TargetMode="External"/><Relationship Id="rId7" Type="http://schemas.openxmlformats.org/officeDocument/2006/relationships/hyperlink" Target="http://fr.wikipedia.org/wiki/Solde_ext%C3%A9rieur" TargetMode="External"/><Relationship Id="rId12" Type="http://schemas.openxmlformats.org/officeDocument/2006/relationships/hyperlink" Target="https://www.indiegogo.com" TargetMode="External"/><Relationship Id="rId17" Type="http://schemas.openxmlformats.org/officeDocument/2006/relationships/hyperlink" Target="http://goo.gl/5O7L2" TargetMode="External"/><Relationship Id="rId25" Type="http://schemas.openxmlformats.org/officeDocument/2006/relationships/hyperlink" Target="mailto:pb@vancutsem.be" TargetMode="External"/><Relationship Id="rId2" Type="http://schemas.openxmlformats.org/officeDocument/2006/relationships/hyperlink" Target="http://www.iccbxl.be" TargetMode="External"/><Relationship Id="rId16" Type="http://schemas.openxmlformats.org/officeDocument/2006/relationships/hyperlink" Target="http://goo.gl/Pucas" TargetMode="External"/><Relationship Id="rId20" Type="http://schemas.openxmlformats.org/officeDocument/2006/relationships/hyperlink" Target="http://goo.gl/qxIGu" TargetMode="External"/><Relationship Id="rId29" Type="http://schemas.openxmlformats.org/officeDocument/2006/relationships/hyperlink" Target="http://goo.gl/T83St" TargetMode="External"/><Relationship Id="rId1" Type="http://schemas.openxmlformats.org/officeDocument/2006/relationships/hyperlink" Target="http://www.iccbxl.be" TargetMode="External"/><Relationship Id="rId6" Type="http://schemas.openxmlformats.org/officeDocument/2006/relationships/hyperlink" Target="http://fr.wikipedia.org/wiki/Irving_Fisher" TargetMode="External"/><Relationship Id="rId11" Type="http://schemas.openxmlformats.org/officeDocument/2006/relationships/hyperlink" Target="http://www.mymicroinvest.be/" TargetMode="External"/><Relationship Id="rId24" Type="http://schemas.openxmlformats.org/officeDocument/2006/relationships/hyperlink" Target="http://goo.gl/ILzH0" TargetMode="External"/><Relationship Id="rId32" Type="http://schemas.openxmlformats.org/officeDocument/2006/relationships/hyperlink" Target="http://goo.gl/ziYki" TargetMode="External"/><Relationship Id="rId5" Type="http://schemas.openxmlformats.org/officeDocument/2006/relationships/hyperlink" Target="http://goo.gl/NFJhVb" TargetMode="External"/><Relationship Id="rId15" Type="http://schemas.openxmlformats.org/officeDocument/2006/relationships/hyperlink" Target="http://goo.gl/pbPpp" TargetMode="External"/><Relationship Id="rId23" Type="http://schemas.openxmlformats.org/officeDocument/2006/relationships/hyperlink" Target="http://goo.gl/JATcI" TargetMode="External"/><Relationship Id="rId28" Type="http://schemas.openxmlformats.org/officeDocument/2006/relationships/hyperlink" Target="mailto:valery.vermeulen@vancutsem.be" TargetMode="External"/><Relationship Id="rId10" Type="http://schemas.openxmlformats.org/officeDocument/2006/relationships/hyperlink" Target="http://fr.wikipedia.org/wiki/Crowdfunding" TargetMode="External"/><Relationship Id="rId19" Type="http://schemas.openxmlformats.org/officeDocument/2006/relationships/hyperlink" Target="http://goo.gl/qxIGu" TargetMode="External"/><Relationship Id="rId31" Type="http://schemas.openxmlformats.org/officeDocument/2006/relationships/hyperlink" Target="http://goo.gl/m8oZE" TargetMode="External"/><Relationship Id="rId4" Type="http://schemas.openxmlformats.org/officeDocument/2006/relationships/hyperlink" Target="http://fr.wikipedia.org/wiki/Droit" TargetMode="External"/><Relationship Id="rId9" Type="http://schemas.openxmlformats.org/officeDocument/2006/relationships/hyperlink" Target="http://fr.wikipedia.org/wiki/Fonds_de_roulement" TargetMode="External"/><Relationship Id="rId14" Type="http://schemas.openxmlformats.org/officeDocument/2006/relationships/hyperlink" Target="http://www.kisskissbankbank.com/" TargetMode="External"/><Relationship Id="rId22" Type="http://schemas.openxmlformats.org/officeDocument/2006/relationships/hyperlink" Target="http://goo.gl/koVVz" TargetMode="External"/><Relationship Id="rId27" Type="http://schemas.openxmlformats.org/officeDocument/2006/relationships/hyperlink" Target="mailto:valery.vermeulen@vancutsem.be" TargetMode="External"/><Relationship Id="rId30" Type="http://schemas.openxmlformats.org/officeDocument/2006/relationships/hyperlink" Target="http://blog.sedlex.be/?tag=concurrence-deloya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7D624-AB3D-46AA-8913-92D7934D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111</Pages>
  <Words>40591</Words>
  <Characters>223256</Characters>
  <Application>Microsoft Office Word</Application>
  <DocSecurity>0</DocSecurity>
  <Lines>1860</Lines>
  <Paragraphs>526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263321</CharactersWithSpaces>
  <SharedDoc>false</SharedDoc>
  <HLinks>
    <vt:vector size="2304" baseType="variant">
      <vt:variant>
        <vt:i4>3276866</vt:i4>
      </vt:variant>
      <vt:variant>
        <vt:i4>1605</vt:i4>
      </vt:variant>
      <vt:variant>
        <vt:i4>0</vt:i4>
      </vt:variant>
      <vt:variant>
        <vt:i4>5</vt:i4>
      </vt:variant>
      <vt:variant>
        <vt:lpwstr>http://fr.wikipedia.org/wiki/Droit</vt:lpwstr>
      </vt:variant>
      <vt:variant>
        <vt:lpwstr>Droit_objectif</vt:lpwstr>
      </vt:variant>
      <vt:variant>
        <vt:i4>7667825</vt:i4>
      </vt:variant>
      <vt:variant>
        <vt:i4>1602</vt:i4>
      </vt:variant>
      <vt:variant>
        <vt:i4>0</vt:i4>
      </vt:variant>
      <vt:variant>
        <vt:i4>5</vt:i4>
      </vt:variant>
      <vt:variant>
        <vt:lpwstr>http://goo.gl/3vfHG</vt:lpwstr>
      </vt:variant>
      <vt:variant>
        <vt:lpwstr/>
      </vt:variant>
      <vt:variant>
        <vt:i4>6422578</vt:i4>
      </vt:variant>
      <vt:variant>
        <vt:i4>1599</vt:i4>
      </vt:variant>
      <vt:variant>
        <vt:i4>0</vt:i4>
      </vt:variant>
      <vt:variant>
        <vt:i4>5</vt:i4>
      </vt:variant>
      <vt:variant>
        <vt:lpwstr>http://goo.gl/XENlq</vt:lpwstr>
      </vt:variant>
      <vt:variant>
        <vt:lpwstr/>
      </vt:variant>
      <vt:variant>
        <vt:i4>7929892</vt:i4>
      </vt:variant>
      <vt:variant>
        <vt:i4>1596</vt:i4>
      </vt:variant>
      <vt:variant>
        <vt:i4>0</vt:i4>
      </vt:variant>
      <vt:variant>
        <vt:i4>5</vt:i4>
      </vt:variant>
      <vt:variant>
        <vt:lpwstr>http://goo.gl/pbPpp</vt:lpwstr>
      </vt:variant>
      <vt:variant>
        <vt:lpwstr/>
      </vt:variant>
      <vt:variant>
        <vt:i4>6881319</vt:i4>
      </vt:variant>
      <vt:variant>
        <vt:i4>1593</vt:i4>
      </vt:variant>
      <vt:variant>
        <vt:i4>0</vt:i4>
      </vt:variant>
      <vt:variant>
        <vt:i4>5</vt:i4>
      </vt:variant>
      <vt:variant>
        <vt:lpwstr>http://goo.gl/ziYki</vt:lpwstr>
      </vt:variant>
      <vt:variant>
        <vt:lpwstr/>
      </vt:variant>
      <vt:variant>
        <vt:i4>7209062</vt:i4>
      </vt:variant>
      <vt:variant>
        <vt:i4>1590</vt:i4>
      </vt:variant>
      <vt:variant>
        <vt:i4>0</vt:i4>
      </vt:variant>
      <vt:variant>
        <vt:i4>5</vt:i4>
      </vt:variant>
      <vt:variant>
        <vt:lpwstr>http://www.juridat.be/</vt:lpwstr>
      </vt:variant>
      <vt:variant>
        <vt:lpwstr/>
      </vt:variant>
      <vt:variant>
        <vt:i4>3866726</vt:i4>
      </vt:variant>
      <vt:variant>
        <vt:i4>1587</vt:i4>
      </vt:variant>
      <vt:variant>
        <vt:i4>0</vt:i4>
      </vt:variant>
      <vt:variant>
        <vt:i4>5</vt:i4>
      </vt:variant>
      <vt:variant>
        <vt:lpwstr>http://blog.sedlex.be/?tag=concurrence-deloyale</vt:lpwstr>
      </vt:variant>
      <vt:variant>
        <vt:lpwstr/>
      </vt:variant>
      <vt:variant>
        <vt:i4>7602236</vt:i4>
      </vt:variant>
      <vt:variant>
        <vt:i4>1584</vt:i4>
      </vt:variant>
      <vt:variant>
        <vt:i4>0</vt:i4>
      </vt:variant>
      <vt:variant>
        <vt:i4>5</vt:i4>
      </vt:variant>
      <vt:variant>
        <vt:lpwstr>http://goo.gl/qxIGu</vt:lpwstr>
      </vt:variant>
      <vt:variant>
        <vt:lpwstr/>
      </vt:variant>
      <vt:variant>
        <vt:i4>6881338</vt:i4>
      </vt:variant>
      <vt:variant>
        <vt:i4>1581</vt:i4>
      </vt:variant>
      <vt:variant>
        <vt:i4>0</vt:i4>
      </vt:variant>
      <vt:variant>
        <vt:i4>5</vt:i4>
      </vt:variant>
      <vt:variant>
        <vt:lpwstr>http://goo.gl/JATcI</vt:lpwstr>
      </vt:variant>
      <vt:variant>
        <vt:lpwstr/>
      </vt:variant>
      <vt:variant>
        <vt:i4>7733291</vt:i4>
      </vt:variant>
      <vt:variant>
        <vt:i4>1578</vt:i4>
      </vt:variant>
      <vt:variant>
        <vt:i4>0</vt:i4>
      </vt:variant>
      <vt:variant>
        <vt:i4>5</vt:i4>
      </vt:variant>
      <vt:variant>
        <vt:lpwstr>http://goo.gl/hkgVs</vt:lpwstr>
      </vt:variant>
      <vt:variant>
        <vt:lpwstr/>
      </vt:variant>
      <vt:variant>
        <vt:i4>7471161</vt:i4>
      </vt:variant>
      <vt:variant>
        <vt:i4>1575</vt:i4>
      </vt:variant>
      <vt:variant>
        <vt:i4>0</vt:i4>
      </vt:variant>
      <vt:variant>
        <vt:i4>5</vt:i4>
      </vt:variant>
      <vt:variant>
        <vt:lpwstr>http://goo.gl/koVVz</vt:lpwstr>
      </vt:variant>
      <vt:variant>
        <vt:lpwstr/>
      </vt:variant>
      <vt:variant>
        <vt:i4>2687014</vt:i4>
      </vt:variant>
      <vt:variant>
        <vt:i4>1572</vt:i4>
      </vt:variant>
      <vt:variant>
        <vt:i4>0</vt:i4>
      </vt:variant>
      <vt:variant>
        <vt:i4>5</vt:i4>
      </vt:variant>
      <vt:variant>
        <vt:lpwstr>http://goo.gl/m8oZE</vt:lpwstr>
      </vt:variant>
      <vt:variant>
        <vt:lpwstr/>
      </vt:variant>
      <vt:variant>
        <vt:i4>2097251</vt:i4>
      </vt:variant>
      <vt:variant>
        <vt:i4>1569</vt:i4>
      </vt:variant>
      <vt:variant>
        <vt:i4>0</vt:i4>
      </vt:variant>
      <vt:variant>
        <vt:i4>5</vt:i4>
      </vt:variant>
      <vt:variant>
        <vt:lpwstr>http://goo.gl/T83St</vt:lpwstr>
      </vt:variant>
      <vt:variant>
        <vt:lpwstr/>
      </vt:variant>
      <vt:variant>
        <vt:i4>2359365</vt:i4>
      </vt:variant>
      <vt:variant>
        <vt:i4>1566</vt:i4>
      </vt:variant>
      <vt:variant>
        <vt:i4>0</vt:i4>
      </vt:variant>
      <vt:variant>
        <vt:i4>5</vt:i4>
      </vt:variant>
      <vt:variant>
        <vt:lpwstr>mailto:valery.vermeulen@vancutsem.be</vt:lpwstr>
      </vt:variant>
      <vt:variant>
        <vt:lpwstr/>
      </vt:variant>
      <vt:variant>
        <vt:i4>2359365</vt:i4>
      </vt:variant>
      <vt:variant>
        <vt:i4>1563</vt:i4>
      </vt:variant>
      <vt:variant>
        <vt:i4>0</vt:i4>
      </vt:variant>
      <vt:variant>
        <vt:i4>5</vt:i4>
      </vt:variant>
      <vt:variant>
        <vt:lpwstr>mailto:valery.vermeulen@vancutsem.be</vt:lpwstr>
      </vt:variant>
      <vt:variant>
        <vt:lpwstr/>
      </vt:variant>
      <vt:variant>
        <vt:i4>655417</vt:i4>
      </vt:variant>
      <vt:variant>
        <vt:i4>1560</vt:i4>
      </vt:variant>
      <vt:variant>
        <vt:i4>0</vt:i4>
      </vt:variant>
      <vt:variant>
        <vt:i4>5</vt:i4>
      </vt:variant>
      <vt:variant>
        <vt:lpwstr>mailto:pb@vancutsem.be</vt:lpwstr>
      </vt:variant>
      <vt:variant>
        <vt:lpwstr/>
      </vt:variant>
      <vt:variant>
        <vt:i4>655417</vt:i4>
      </vt:variant>
      <vt:variant>
        <vt:i4>1557</vt:i4>
      </vt:variant>
      <vt:variant>
        <vt:i4>0</vt:i4>
      </vt:variant>
      <vt:variant>
        <vt:i4>5</vt:i4>
      </vt:variant>
      <vt:variant>
        <vt:lpwstr>mailto:pb@vancutsem.be</vt:lpwstr>
      </vt:variant>
      <vt:variant>
        <vt:lpwstr/>
      </vt:variant>
      <vt:variant>
        <vt:i4>7274551</vt:i4>
      </vt:variant>
      <vt:variant>
        <vt:i4>1554</vt:i4>
      </vt:variant>
      <vt:variant>
        <vt:i4>0</vt:i4>
      </vt:variant>
      <vt:variant>
        <vt:i4>5</vt:i4>
      </vt:variant>
      <vt:variant>
        <vt:lpwstr>http://goo.gl/ILzH0</vt:lpwstr>
      </vt:variant>
      <vt:variant>
        <vt:lpwstr/>
      </vt:variant>
      <vt:variant>
        <vt:i4>3801136</vt:i4>
      </vt:variant>
      <vt:variant>
        <vt:i4>1551</vt:i4>
      </vt:variant>
      <vt:variant>
        <vt:i4>0</vt:i4>
      </vt:variant>
      <vt:variant>
        <vt:i4>5</vt:i4>
      </vt:variant>
      <vt:variant>
        <vt:lpwstr>http://www.erickirsch.be/ledrco/phenix.pdf</vt:lpwstr>
      </vt:variant>
      <vt:variant>
        <vt:lpwstr/>
      </vt:variant>
      <vt:variant>
        <vt:i4>3145844</vt:i4>
      </vt:variant>
      <vt:variant>
        <vt:i4>1548</vt:i4>
      </vt:variant>
      <vt:variant>
        <vt:i4>0</vt:i4>
      </vt:variant>
      <vt:variant>
        <vt:i4>5</vt:i4>
      </vt:variant>
      <vt:variant>
        <vt:lpwstr>http://kirsch.c.la/</vt:lpwstr>
      </vt:variant>
      <vt:variant>
        <vt:lpwstr/>
      </vt:variant>
      <vt:variant>
        <vt:i4>1310764</vt:i4>
      </vt:variant>
      <vt:variant>
        <vt:i4>1545</vt:i4>
      </vt:variant>
      <vt:variant>
        <vt:i4>0</vt:i4>
      </vt:variant>
      <vt:variant>
        <vt:i4>5</vt:i4>
      </vt:variant>
      <vt:variant>
        <vt:lpwstr>http://www.erickirsch.be/ledrco/continuite_entreprise.pdf</vt:lpwstr>
      </vt:variant>
      <vt:variant>
        <vt:lpwstr/>
      </vt:variant>
      <vt:variant>
        <vt:i4>6094852</vt:i4>
      </vt:variant>
      <vt:variant>
        <vt:i4>1542</vt:i4>
      </vt:variant>
      <vt:variant>
        <vt:i4>0</vt:i4>
      </vt:variant>
      <vt:variant>
        <vt:i4>5</vt:i4>
      </vt:variant>
      <vt:variant>
        <vt:lpwstr/>
      </vt:variant>
      <vt:variant>
        <vt:lpwstr>_Notion_de_compte_au porteur (tokube</vt:lpwstr>
      </vt:variant>
      <vt:variant>
        <vt:i4>2359357</vt:i4>
      </vt:variant>
      <vt:variant>
        <vt:i4>1539</vt:i4>
      </vt:variant>
      <vt:variant>
        <vt:i4>0</vt:i4>
      </vt:variant>
      <vt:variant>
        <vt:i4>5</vt:i4>
      </vt:variant>
      <vt:variant>
        <vt:lpwstr>http://www.kleinwalsertal.com/</vt:lpwstr>
      </vt:variant>
      <vt:variant>
        <vt:lpwstr/>
      </vt:variant>
      <vt:variant>
        <vt:i4>262157</vt:i4>
      </vt:variant>
      <vt:variant>
        <vt:i4>1536</vt:i4>
      </vt:variant>
      <vt:variant>
        <vt:i4>0</vt:i4>
      </vt:variant>
      <vt:variant>
        <vt:i4>5</vt:i4>
      </vt:variant>
      <vt:variant>
        <vt:lpwstr>http://www.ubs.com/1/f/index.html</vt:lpwstr>
      </vt:variant>
      <vt:variant>
        <vt:lpwstr/>
      </vt:variant>
      <vt:variant>
        <vt:i4>7995438</vt:i4>
      </vt:variant>
      <vt:variant>
        <vt:i4>1533</vt:i4>
      </vt:variant>
      <vt:variant>
        <vt:i4>0</vt:i4>
      </vt:variant>
      <vt:variant>
        <vt:i4>5</vt:i4>
      </vt:variant>
      <vt:variant>
        <vt:lpwstr>http://fr.wikipedia.org/wiki/Guernesey</vt:lpwstr>
      </vt:variant>
      <vt:variant>
        <vt:lpwstr/>
      </vt:variant>
      <vt:variant>
        <vt:i4>2621563</vt:i4>
      </vt:variant>
      <vt:variant>
        <vt:i4>1530</vt:i4>
      </vt:variant>
      <vt:variant>
        <vt:i4>0</vt:i4>
      </vt:variant>
      <vt:variant>
        <vt:i4>5</vt:i4>
      </vt:variant>
      <vt:variant>
        <vt:lpwstr>http://www.amedia-offshore.com/fr/?gclid=CKDq1dmLupkCFQo1QwodRGAQ5A</vt:lpwstr>
      </vt:variant>
      <vt:variant>
        <vt:lpwstr/>
      </vt:variant>
      <vt:variant>
        <vt:i4>2293812</vt:i4>
      </vt:variant>
      <vt:variant>
        <vt:i4>1527</vt:i4>
      </vt:variant>
      <vt:variant>
        <vt:i4>0</vt:i4>
      </vt:variant>
      <vt:variant>
        <vt:i4>5</vt:i4>
      </vt:variant>
      <vt:variant>
        <vt:lpwstr>http://www.tlfq.ulaval.ca/axl/amsudant/caimanes.htm</vt:lpwstr>
      </vt:variant>
      <vt:variant>
        <vt:lpwstr/>
      </vt:variant>
      <vt:variant>
        <vt:i4>3866660</vt:i4>
      </vt:variant>
      <vt:variant>
        <vt:i4>1524</vt:i4>
      </vt:variant>
      <vt:variant>
        <vt:i4>0</vt:i4>
      </vt:variant>
      <vt:variant>
        <vt:i4>5</vt:i4>
      </vt:variant>
      <vt:variant>
        <vt:lpwstr/>
      </vt:variant>
      <vt:variant>
        <vt:lpwstr>_Société_anonyme_European_Entreprise</vt:lpwstr>
      </vt:variant>
      <vt:variant>
        <vt:i4>7602291</vt:i4>
      </vt:variant>
      <vt:variant>
        <vt:i4>1521</vt:i4>
      </vt:variant>
      <vt:variant>
        <vt:i4>0</vt:i4>
      </vt:variant>
      <vt:variant>
        <vt:i4>5</vt:i4>
      </vt:variant>
      <vt:variant>
        <vt:lpwstr>http://www.lexpansion.com/art/6.0.126517.0.html</vt:lpwstr>
      </vt:variant>
      <vt:variant>
        <vt:lpwstr/>
      </vt:variant>
      <vt:variant>
        <vt:i4>2883620</vt:i4>
      </vt:variant>
      <vt:variant>
        <vt:i4>1518</vt:i4>
      </vt:variant>
      <vt:variant>
        <vt:i4>0</vt:i4>
      </vt:variant>
      <vt:variant>
        <vt:i4>5</vt:i4>
      </vt:variant>
      <vt:variant>
        <vt:lpwstr>http://www.mipsi-france.com/fr/artdegouverner/htmlwb/plak4.html</vt:lpwstr>
      </vt:variant>
      <vt:variant>
        <vt:lpwstr/>
      </vt:variant>
      <vt:variant>
        <vt:i4>3211272</vt:i4>
      </vt:variant>
      <vt:variant>
        <vt:i4>1515</vt:i4>
      </vt:variant>
      <vt:variant>
        <vt:i4>0</vt:i4>
      </vt:variant>
      <vt:variant>
        <vt:i4>5</vt:i4>
      </vt:variant>
      <vt:variant>
        <vt:lpwstr>http://www.taxe.com/rwtax/DMN~6_QueryID~10233_QueryTXT~liste-des-paradis-fiscaux_step~2.htm</vt:lpwstr>
      </vt:variant>
      <vt:variant>
        <vt:lpwstr/>
      </vt:variant>
      <vt:variant>
        <vt:i4>327776</vt:i4>
      </vt:variant>
      <vt:variant>
        <vt:i4>1512</vt:i4>
      </vt:variant>
      <vt:variant>
        <vt:i4>0</vt:i4>
      </vt:variant>
      <vt:variant>
        <vt:i4>5</vt:i4>
      </vt:variant>
      <vt:variant>
        <vt:lpwstr>http://fr.wikipedia.org/wiki/Paradis_fiscaux</vt:lpwstr>
      </vt:variant>
      <vt:variant>
        <vt:lpwstr/>
      </vt:variant>
      <vt:variant>
        <vt:i4>7274537</vt:i4>
      </vt:variant>
      <vt:variant>
        <vt:i4>1509</vt:i4>
      </vt:variant>
      <vt:variant>
        <vt:i4>0</vt:i4>
      </vt:variant>
      <vt:variant>
        <vt:i4>5</vt:i4>
      </vt:variant>
      <vt:variant>
        <vt:lpwstr>http://fr.wikipedia.org/wiki/Panama</vt:lpwstr>
      </vt:variant>
      <vt:variant>
        <vt:lpwstr/>
      </vt:variant>
      <vt:variant>
        <vt:i4>7667946</vt:i4>
      </vt:variant>
      <vt:variant>
        <vt:i4>1506</vt:i4>
      </vt:variant>
      <vt:variant>
        <vt:i4>0</vt:i4>
      </vt:variant>
      <vt:variant>
        <vt:i4>5</vt:i4>
      </vt:variant>
      <vt:variant>
        <vt:lpwstr/>
      </vt:variant>
      <vt:variant>
        <vt:lpwstr>_Société_anonyme_située_aux Îles Caï</vt:lpwstr>
      </vt:variant>
      <vt:variant>
        <vt:i4>1310775</vt:i4>
      </vt:variant>
      <vt:variant>
        <vt:i4>1503</vt:i4>
      </vt:variant>
      <vt:variant>
        <vt:i4>0</vt:i4>
      </vt:variant>
      <vt:variant>
        <vt:i4>5</vt:i4>
      </vt:variant>
      <vt:variant>
        <vt:lpwstr>http://fr.wikipedia.org/wiki/Campione_d'Italia</vt:lpwstr>
      </vt:variant>
      <vt:variant>
        <vt:lpwstr/>
      </vt:variant>
      <vt:variant>
        <vt:i4>1704052</vt:i4>
      </vt:variant>
      <vt:variant>
        <vt:i4>1500</vt:i4>
      </vt:variant>
      <vt:variant>
        <vt:i4>0</vt:i4>
      </vt:variant>
      <vt:variant>
        <vt:i4>5</vt:i4>
      </vt:variant>
      <vt:variant>
        <vt:lpwstr>http://www.creation-societe-offshore.net/accueil_fr.html</vt:lpwstr>
      </vt:variant>
      <vt:variant>
        <vt:lpwstr/>
      </vt:variant>
      <vt:variant>
        <vt:i4>3342389</vt:i4>
      </vt:variant>
      <vt:variant>
        <vt:i4>1497</vt:i4>
      </vt:variant>
      <vt:variant>
        <vt:i4>0</vt:i4>
      </vt:variant>
      <vt:variant>
        <vt:i4>5</vt:i4>
      </vt:variant>
      <vt:variant>
        <vt:lpwstr>http://www.taxhaven-opm.org/ParadisFiscauxQuestions.htm</vt:lpwstr>
      </vt:variant>
      <vt:variant>
        <vt:lpwstr/>
      </vt:variant>
      <vt:variant>
        <vt:i4>3866660</vt:i4>
      </vt:variant>
      <vt:variant>
        <vt:i4>1494</vt:i4>
      </vt:variant>
      <vt:variant>
        <vt:i4>0</vt:i4>
      </vt:variant>
      <vt:variant>
        <vt:i4>5</vt:i4>
      </vt:variant>
      <vt:variant>
        <vt:lpwstr/>
      </vt:variant>
      <vt:variant>
        <vt:lpwstr>_Société_anonyme_European_Entreprise</vt:lpwstr>
      </vt:variant>
      <vt:variant>
        <vt:i4>7667946</vt:i4>
      </vt:variant>
      <vt:variant>
        <vt:i4>1491</vt:i4>
      </vt:variant>
      <vt:variant>
        <vt:i4>0</vt:i4>
      </vt:variant>
      <vt:variant>
        <vt:i4>5</vt:i4>
      </vt:variant>
      <vt:variant>
        <vt:lpwstr/>
      </vt:variant>
      <vt:variant>
        <vt:lpwstr>_Société_anonyme_située_aux Îles Caï</vt:lpwstr>
      </vt:variant>
      <vt:variant>
        <vt:i4>3866660</vt:i4>
      </vt:variant>
      <vt:variant>
        <vt:i4>1488</vt:i4>
      </vt:variant>
      <vt:variant>
        <vt:i4>0</vt:i4>
      </vt:variant>
      <vt:variant>
        <vt:i4>5</vt:i4>
      </vt:variant>
      <vt:variant>
        <vt:lpwstr/>
      </vt:variant>
      <vt:variant>
        <vt:lpwstr>_Société_anonyme_European_Entreprise</vt:lpwstr>
      </vt:variant>
      <vt:variant>
        <vt:i4>7274697</vt:i4>
      </vt:variant>
      <vt:variant>
        <vt:i4>1485</vt:i4>
      </vt:variant>
      <vt:variant>
        <vt:i4>0</vt:i4>
      </vt:variant>
      <vt:variant>
        <vt:i4>5</vt:i4>
      </vt:variant>
      <vt:variant>
        <vt:lpwstr/>
      </vt:variant>
      <vt:variant>
        <vt:lpwstr>_Société_panaméenne_(Fighthaven)</vt:lpwstr>
      </vt:variant>
      <vt:variant>
        <vt:i4>4456480</vt:i4>
      </vt:variant>
      <vt:variant>
        <vt:i4>1479</vt:i4>
      </vt:variant>
      <vt:variant>
        <vt:i4>0</vt:i4>
      </vt:variant>
      <vt:variant>
        <vt:i4>5</vt:i4>
      </vt:variant>
      <vt:variant>
        <vt:lpwstr/>
      </vt:variant>
      <vt:variant>
        <vt:lpwstr>_Société_luxembourgeoise_(Fighthaven</vt:lpwstr>
      </vt:variant>
      <vt:variant>
        <vt:i4>7274697</vt:i4>
      </vt:variant>
      <vt:variant>
        <vt:i4>1476</vt:i4>
      </vt:variant>
      <vt:variant>
        <vt:i4>0</vt:i4>
      </vt:variant>
      <vt:variant>
        <vt:i4>5</vt:i4>
      </vt:variant>
      <vt:variant>
        <vt:lpwstr/>
      </vt:variant>
      <vt:variant>
        <vt:lpwstr>_Société_panaméenne_(Fighthaven)</vt:lpwstr>
      </vt:variant>
      <vt:variant>
        <vt:i4>1310775</vt:i4>
      </vt:variant>
      <vt:variant>
        <vt:i4>1473</vt:i4>
      </vt:variant>
      <vt:variant>
        <vt:i4>0</vt:i4>
      </vt:variant>
      <vt:variant>
        <vt:i4>5</vt:i4>
      </vt:variant>
      <vt:variant>
        <vt:lpwstr>http://fr.wikipedia.org/wiki/Campione_d'Italia</vt:lpwstr>
      </vt:variant>
      <vt:variant>
        <vt:lpwstr/>
      </vt:variant>
      <vt:variant>
        <vt:i4>7733333</vt:i4>
      </vt:variant>
      <vt:variant>
        <vt:i4>1470</vt:i4>
      </vt:variant>
      <vt:variant>
        <vt:i4>0</vt:i4>
      </vt:variant>
      <vt:variant>
        <vt:i4>5</vt:i4>
      </vt:variant>
      <vt:variant>
        <vt:lpwstr>http://www.erickirsch.be/ledrco/piege_suisse.pdf</vt:lpwstr>
      </vt:variant>
      <vt:variant>
        <vt:lpwstr/>
      </vt:variant>
      <vt:variant>
        <vt:i4>7733333</vt:i4>
      </vt:variant>
      <vt:variant>
        <vt:i4>1467</vt:i4>
      </vt:variant>
      <vt:variant>
        <vt:i4>0</vt:i4>
      </vt:variant>
      <vt:variant>
        <vt:i4>5</vt:i4>
      </vt:variant>
      <vt:variant>
        <vt:lpwstr>http://www.erickirsch.be/ledrco/piege_suisse.pdf</vt:lpwstr>
      </vt:variant>
      <vt:variant>
        <vt:lpwstr/>
      </vt:variant>
      <vt:variant>
        <vt:i4>5046343</vt:i4>
      </vt:variant>
      <vt:variant>
        <vt:i4>1464</vt:i4>
      </vt:variant>
      <vt:variant>
        <vt:i4>0</vt:i4>
      </vt:variant>
      <vt:variant>
        <vt:i4>5</vt:i4>
      </vt:variant>
      <vt:variant>
        <vt:lpwstr>http://www.erickirsch.be/ledrco/contrats.pdf</vt:lpwstr>
      </vt:variant>
      <vt:variant>
        <vt:lpwstr/>
      </vt:variant>
      <vt:variant>
        <vt:i4>5046343</vt:i4>
      </vt:variant>
      <vt:variant>
        <vt:i4>1461</vt:i4>
      </vt:variant>
      <vt:variant>
        <vt:i4>0</vt:i4>
      </vt:variant>
      <vt:variant>
        <vt:i4>5</vt:i4>
      </vt:variant>
      <vt:variant>
        <vt:lpwstr>http://www.erickirsch.be/ledrco/contrats.pdf</vt:lpwstr>
      </vt:variant>
      <vt:variant>
        <vt:lpwstr/>
      </vt:variant>
      <vt:variant>
        <vt:i4>7012402</vt:i4>
      </vt:variant>
      <vt:variant>
        <vt:i4>1458</vt:i4>
      </vt:variant>
      <vt:variant>
        <vt:i4>0</vt:i4>
      </vt:variant>
      <vt:variant>
        <vt:i4>5</vt:i4>
      </vt:variant>
      <vt:variant>
        <vt:lpwstr>http://fr.wikipedia.org/wiki/R%C3%A9faction</vt:lpwstr>
      </vt:variant>
      <vt:variant>
        <vt:lpwstr/>
      </vt:variant>
      <vt:variant>
        <vt:i4>1310790</vt:i4>
      </vt:variant>
      <vt:variant>
        <vt:i4>1455</vt:i4>
      </vt:variant>
      <vt:variant>
        <vt:i4>0</vt:i4>
      </vt:variant>
      <vt:variant>
        <vt:i4>5</vt:i4>
      </vt:variant>
      <vt:variant>
        <vt:lpwstr>http://fr.wikipedia.org/wiki/Freinte</vt:lpwstr>
      </vt:variant>
      <vt:variant>
        <vt:lpwstr/>
      </vt:variant>
      <vt:variant>
        <vt:i4>4128829</vt:i4>
      </vt:variant>
      <vt:variant>
        <vt:i4>1452</vt:i4>
      </vt:variant>
      <vt:variant>
        <vt:i4>0</vt:i4>
      </vt:variant>
      <vt:variant>
        <vt:i4>5</vt:i4>
      </vt:variant>
      <vt:variant>
        <vt:lpwstr>http://www.cerpeg.ac-versailles.fr/ressdiscipl/droit/contratvente.htm</vt:lpwstr>
      </vt:variant>
      <vt:variant>
        <vt:lpwstr>B1</vt:lpwstr>
      </vt:variant>
      <vt:variant>
        <vt:i4>5636201</vt:i4>
      </vt:variant>
      <vt:variant>
        <vt:i4>1449</vt:i4>
      </vt:variant>
      <vt:variant>
        <vt:i4>0</vt:i4>
      </vt:variant>
      <vt:variant>
        <vt:i4>5</vt:i4>
      </vt:variant>
      <vt:variant>
        <vt:lpwstr>http://fr.wikipedia.org/wiki/Cost,_Insurance_and_Freight</vt:lpwstr>
      </vt:variant>
      <vt:variant>
        <vt:lpwstr/>
      </vt:variant>
      <vt:variant>
        <vt:i4>1114195</vt:i4>
      </vt:variant>
      <vt:variant>
        <vt:i4>1446</vt:i4>
      </vt:variant>
      <vt:variant>
        <vt:i4>0</vt:i4>
      </vt:variant>
      <vt:variant>
        <vt:i4>5</vt:i4>
      </vt:variant>
      <vt:variant>
        <vt:lpwstr>http://fr.wikipedia.org/wiki/Cost_and_Freight</vt:lpwstr>
      </vt:variant>
      <vt:variant>
        <vt:lpwstr/>
      </vt:variant>
      <vt:variant>
        <vt:i4>4784147</vt:i4>
      </vt:variant>
      <vt:variant>
        <vt:i4>1443</vt:i4>
      </vt:variant>
      <vt:variant>
        <vt:i4>0</vt:i4>
      </vt:variant>
      <vt:variant>
        <vt:i4>5</vt:i4>
      </vt:variant>
      <vt:variant>
        <vt:lpwstr>http://fr.wikipedia.org/wiki/Free_On_Board</vt:lpwstr>
      </vt:variant>
      <vt:variant>
        <vt:lpwstr/>
      </vt:variant>
      <vt:variant>
        <vt:i4>1179713</vt:i4>
      </vt:variant>
      <vt:variant>
        <vt:i4>1440</vt:i4>
      </vt:variant>
      <vt:variant>
        <vt:i4>0</vt:i4>
      </vt:variant>
      <vt:variant>
        <vt:i4>5</vt:i4>
      </vt:variant>
      <vt:variant>
        <vt:lpwstr>http://fr.wikipedia.org/wiki/Free_Alongside_Ship</vt:lpwstr>
      </vt:variant>
      <vt:variant>
        <vt:lpwstr/>
      </vt:variant>
      <vt:variant>
        <vt:i4>4063343</vt:i4>
      </vt:variant>
      <vt:variant>
        <vt:i4>1437</vt:i4>
      </vt:variant>
      <vt:variant>
        <vt:i4>0</vt:i4>
      </vt:variant>
      <vt:variant>
        <vt:i4>5</vt:i4>
      </vt:variant>
      <vt:variant>
        <vt:lpwstr>http://fr.wikipedia.org/wiki/Delivered_Duty_Paid</vt:lpwstr>
      </vt:variant>
      <vt:variant>
        <vt:lpwstr/>
      </vt:variant>
      <vt:variant>
        <vt:i4>5767190</vt:i4>
      </vt:variant>
      <vt:variant>
        <vt:i4>1434</vt:i4>
      </vt:variant>
      <vt:variant>
        <vt:i4>0</vt:i4>
      </vt:variant>
      <vt:variant>
        <vt:i4>5</vt:i4>
      </vt:variant>
      <vt:variant>
        <vt:lpwstr>http://fr.wikipedia.org/w/index.php?title=Delivered_At_Place&amp;action=edit&amp;redlink=1</vt:lpwstr>
      </vt:variant>
      <vt:variant>
        <vt:lpwstr/>
      </vt:variant>
      <vt:variant>
        <vt:i4>6422626</vt:i4>
      </vt:variant>
      <vt:variant>
        <vt:i4>1431</vt:i4>
      </vt:variant>
      <vt:variant>
        <vt:i4>0</vt:i4>
      </vt:variant>
      <vt:variant>
        <vt:i4>5</vt:i4>
      </vt:variant>
      <vt:variant>
        <vt:lpwstr>http://fr.wikipedia.org/w/index.php?title=Delivered_At_Terminal&amp;action=edit&amp;redlink=1</vt:lpwstr>
      </vt:variant>
      <vt:variant>
        <vt:lpwstr/>
      </vt:variant>
      <vt:variant>
        <vt:i4>5898270</vt:i4>
      </vt:variant>
      <vt:variant>
        <vt:i4>1428</vt:i4>
      </vt:variant>
      <vt:variant>
        <vt:i4>0</vt:i4>
      </vt:variant>
      <vt:variant>
        <vt:i4>5</vt:i4>
      </vt:variant>
      <vt:variant>
        <vt:lpwstr>http://fr.wikipedia.org/wiki/Carriage_and_Insurance_Paid_to</vt:lpwstr>
      </vt:variant>
      <vt:variant>
        <vt:lpwstr/>
      </vt:variant>
      <vt:variant>
        <vt:i4>2949240</vt:i4>
      </vt:variant>
      <vt:variant>
        <vt:i4>1425</vt:i4>
      </vt:variant>
      <vt:variant>
        <vt:i4>0</vt:i4>
      </vt:variant>
      <vt:variant>
        <vt:i4>5</vt:i4>
      </vt:variant>
      <vt:variant>
        <vt:lpwstr>http://fr.wikipedia.org/wiki/Carriage_Paid_To</vt:lpwstr>
      </vt:variant>
      <vt:variant>
        <vt:lpwstr/>
      </vt:variant>
      <vt:variant>
        <vt:i4>3539014</vt:i4>
      </vt:variant>
      <vt:variant>
        <vt:i4>1422</vt:i4>
      </vt:variant>
      <vt:variant>
        <vt:i4>0</vt:i4>
      </vt:variant>
      <vt:variant>
        <vt:i4>5</vt:i4>
      </vt:variant>
      <vt:variant>
        <vt:lpwstr>http://fr.wikipedia.org/wiki/Free_Carrier</vt:lpwstr>
      </vt:variant>
      <vt:variant>
        <vt:lpwstr/>
      </vt:variant>
      <vt:variant>
        <vt:i4>2228308</vt:i4>
      </vt:variant>
      <vt:variant>
        <vt:i4>1419</vt:i4>
      </vt:variant>
      <vt:variant>
        <vt:i4>0</vt:i4>
      </vt:variant>
      <vt:variant>
        <vt:i4>5</vt:i4>
      </vt:variant>
      <vt:variant>
        <vt:lpwstr>http://fr.wikipedia.org/wiki/Ex_Works</vt:lpwstr>
      </vt:variant>
      <vt:variant>
        <vt:lpwstr/>
      </vt:variant>
      <vt:variant>
        <vt:i4>6488096</vt:i4>
      </vt:variant>
      <vt:variant>
        <vt:i4>1410</vt:i4>
      </vt:variant>
      <vt:variant>
        <vt:i4>0</vt:i4>
      </vt:variant>
      <vt:variant>
        <vt:i4>5</vt:i4>
      </vt:variant>
      <vt:variant>
        <vt:lpwstr>http://fr.wikipedia.org/wiki/Incoterms</vt:lpwstr>
      </vt:variant>
      <vt:variant>
        <vt:lpwstr/>
      </vt:variant>
      <vt:variant>
        <vt:i4>5242973</vt:i4>
      </vt:variant>
      <vt:variant>
        <vt:i4>1407</vt:i4>
      </vt:variant>
      <vt:variant>
        <vt:i4>0</vt:i4>
      </vt:variant>
      <vt:variant>
        <vt:i4>5</vt:i4>
      </vt:variant>
      <vt:variant>
        <vt:lpwstr>http://www.becompta.be/modules/dictionnaire/140-comptable-note-de-credit.html</vt:lpwstr>
      </vt:variant>
      <vt:variant>
        <vt:lpwstr/>
      </vt:variant>
      <vt:variant>
        <vt:i4>5111821</vt:i4>
      </vt:variant>
      <vt:variant>
        <vt:i4>1404</vt:i4>
      </vt:variant>
      <vt:variant>
        <vt:i4>0</vt:i4>
      </vt:variant>
      <vt:variant>
        <vt:i4>5</vt:i4>
      </vt:variant>
      <vt:variant>
        <vt:lpwstr>http://fr.wikipedia.org/wiki/Note_de_d%C3%A9bit</vt:lpwstr>
      </vt:variant>
      <vt:variant>
        <vt:lpwstr/>
      </vt:variant>
      <vt:variant>
        <vt:i4>196677</vt:i4>
      </vt:variant>
      <vt:variant>
        <vt:i4>1401</vt:i4>
      </vt:variant>
      <vt:variant>
        <vt:i4>0</vt:i4>
      </vt:variant>
      <vt:variant>
        <vt:i4>5</vt:i4>
      </vt:variant>
      <vt:variant>
        <vt:lpwstr>http://fr.wikipedia.org/wiki/Escompte</vt:lpwstr>
      </vt:variant>
      <vt:variant>
        <vt:lpwstr/>
      </vt:variant>
      <vt:variant>
        <vt:i4>6619183</vt:i4>
      </vt:variant>
      <vt:variant>
        <vt:i4>1398</vt:i4>
      </vt:variant>
      <vt:variant>
        <vt:i4>0</vt:i4>
      </vt:variant>
      <vt:variant>
        <vt:i4>5</vt:i4>
      </vt:variant>
      <vt:variant>
        <vt:lpwstr>http://fr.wikipedia.org/wiki/Ristourne</vt:lpwstr>
      </vt:variant>
      <vt:variant>
        <vt:lpwstr/>
      </vt:variant>
      <vt:variant>
        <vt:i4>6619177</vt:i4>
      </vt:variant>
      <vt:variant>
        <vt:i4>1395</vt:i4>
      </vt:variant>
      <vt:variant>
        <vt:i4>0</vt:i4>
      </vt:variant>
      <vt:variant>
        <vt:i4>5</vt:i4>
      </vt:variant>
      <vt:variant>
        <vt:lpwstr>http://fr.wikipedia.org/wiki/Rabais</vt:lpwstr>
      </vt:variant>
      <vt:variant>
        <vt:lpwstr/>
      </vt:variant>
      <vt:variant>
        <vt:i4>5242993</vt:i4>
      </vt:variant>
      <vt:variant>
        <vt:i4>1392</vt:i4>
      </vt:variant>
      <vt:variant>
        <vt:i4>0</vt:i4>
      </vt:variant>
      <vt:variant>
        <vt:i4>5</vt:i4>
      </vt:variant>
      <vt:variant>
        <vt:lpwstr>http://fr.wikipedia.org/wiki/Remise_%28comptabilit%C3%A9%29</vt:lpwstr>
      </vt:variant>
      <vt:variant>
        <vt:lpwstr/>
      </vt:variant>
      <vt:variant>
        <vt:i4>4522030</vt:i4>
      </vt:variant>
      <vt:variant>
        <vt:i4>1389</vt:i4>
      </vt:variant>
      <vt:variant>
        <vt:i4>0</vt:i4>
      </vt:variant>
      <vt:variant>
        <vt:i4>5</vt:i4>
      </vt:variant>
      <vt:variant>
        <vt:lpwstr>http://fr.wikipedia.org/wiki/Cr%C3%A9dit_%C3%A0_la_consommation</vt:lpwstr>
      </vt:variant>
      <vt:variant>
        <vt:lpwstr/>
      </vt:variant>
      <vt:variant>
        <vt:i4>1900610</vt:i4>
      </vt:variant>
      <vt:variant>
        <vt:i4>1386</vt:i4>
      </vt:variant>
      <vt:variant>
        <vt:i4>0</vt:i4>
      </vt:variant>
      <vt:variant>
        <vt:i4>5</vt:i4>
      </vt:variant>
      <vt:variant>
        <vt:lpwstr>http://www.droitbelge.be/</vt:lpwstr>
      </vt:variant>
      <vt:variant>
        <vt:lpwstr/>
      </vt:variant>
      <vt:variant>
        <vt:i4>1900610</vt:i4>
      </vt:variant>
      <vt:variant>
        <vt:i4>1383</vt:i4>
      </vt:variant>
      <vt:variant>
        <vt:i4>0</vt:i4>
      </vt:variant>
      <vt:variant>
        <vt:i4>5</vt:i4>
      </vt:variant>
      <vt:variant>
        <vt:lpwstr>http://www.droitbelge.be/</vt:lpwstr>
      </vt:variant>
      <vt:variant>
        <vt:lpwstr/>
      </vt:variant>
      <vt:variant>
        <vt:i4>1900610</vt:i4>
      </vt:variant>
      <vt:variant>
        <vt:i4>1380</vt:i4>
      </vt:variant>
      <vt:variant>
        <vt:i4>0</vt:i4>
      </vt:variant>
      <vt:variant>
        <vt:i4>5</vt:i4>
      </vt:variant>
      <vt:variant>
        <vt:lpwstr>http://www.droitbelge.be/</vt:lpwstr>
      </vt:variant>
      <vt:variant>
        <vt:lpwstr/>
      </vt:variant>
      <vt:variant>
        <vt:i4>2556024</vt:i4>
      </vt:variant>
      <vt:variant>
        <vt:i4>1377</vt:i4>
      </vt:variant>
      <vt:variant>
        <vt:i4>0</vt:i4>
      </vt:variant>
      <vt:variant>
        <vt:i4>5</vt:i4>
      </vt:variant>
      <vt:variant>
        <vt:lpwstr>http://economie.fgov.be/fr/entreprises/propriete_intellectuelle/Aspects_institutionnels_et_pratiques/OPRI/</vt:lpwstr>
      </vt:variant>
      <vt:variant>
        <vt:lpwstr/>
      </vt:variant>
      <vt:variant>
        <vt:i4>2556024</vt:i4>
      </vt:variant>
      <vt:variant>
        <vt:i4>1374</vt:i4>
      </vt:variant>
      <vt:variant>
        <vt:i4>0</vt:i4>
      </vt:variant>
      <vt:variant>
        <vt:i4>5</vt:i4>
      </vt:variant>
      <vt:variant>
        <vt:lpwstr>http://economie.fgov.be/fr/entreprises/propriete_intellectuelle/Aspects_institutionnels_et_pratiques/OPRI/</vt:lpwstr>
      </vt:variant>
      <vt:variant>
        <vt:lpwstr/>
      </vt:variant>
      <vt:variant>
        <vt:i4>4849675</vt:i4>
      </vt:variant>
      <vt:variant>
        <vt:i4>1371</vt:i4>
      </vt:variant>
      <vt:variant>
        <vt:i4>0</vt:i4>
      </vt:variant>
      <vt:variant>
        <vt:i4>5</vt:i4>
      </vt:variant>
      <vt:variant>
        <vt:lpwstr>https://www.boip.int/</vt:lpwstr>
      </vt:variant>
      <vt:variant>
        <vt:lpwstr/>
      </vt:variant>
      <vt:variant>
        <vt:i4>4849675</vt:i4>
      </vt:variant>
      <vt:variant>
        <vt:i4>1368</vt:i4>
      </vt:variant>
      <vt:variant>
        <vt:i4>0</vt:i4>
      </vt:variant>
      <vt:variant>
        <vt:i4>5</vt:i4>
      </vt:variant>
      <vt:variant>
        <vt:lpwstr>https://www.boip.int/</vt:lpwstr>
      </vt:variant>
      <vt:variant>
        <vt:lpwstr/>
      </vt:variant>
      <vt:variant>
        <vt:i4>5570638</vt:i4>
      </vt:variant>
      <vt:variant>
        <vt:i4>1365</vt:i4>
      </vt:variant>
      <vt:variant>
        <vt:i4>0</vt:i4>
      </vt:variant>
      <vt:variant>
        <vt:i4>5</vt:i4>
      </vt:variant>
      <vt:variant>
        <vt:lpwstr>http://economie.fgov.be/</vt:lpwstr>
      </vt:variant>
      <vt:variant>
        <vt:lpwstr/>
      </vt:variant>
      <vt:variant>
        <vt:i4>5570638</vt:i4>
      </vt:variant>
      <vt:variant>
        <vt:i4>1362</vt:i4>
      </vt:variant>
      <vt:variant>
        <vt:i4>0</vt:i4>
      </vt:variant>
      <vt:variant>
        <vt:i4>5</vt:i4>
      </vt:variant>
      <vt:variant>
        <vt:lpwstr>http://economie.fgov.be/</vt:lpwstr>
      </vt:variant>
      <vt:variant>
        <vt:lpwstr/>
      </vt:variant>
      <vt:variant>
        <vt:i4>7209062</vt:i4>
      </vt:variant>
      <vt:variant>
        <vt:i4>1359</vt:i4>
      </vt:variant>
      <vt:variant>
        <vt:i4>0</vt:i4>
      </vt:variant>
      <vt:variant>
        <vt:i4>5</vt:i4>
      </vt:variant>
      <vt:variant>
        <vt:lpwstr>http://www.juridat.be/</vt:lpwstr>
      </vt:variant>
      <vt:variant>
        <vt:lpwstr/>
      </vt:variant>
      <vt:variant>
        <vt:i4>720896</vt:i4>
      </vt:variant>
      <vt:variant>
        <vt:i4>1356</vt:i4>
      </vt:variant>
      <vt:variant>
        <vt:i4>0</vt:i4>
      </vt:variant>
      <vt:variant>
        <vt:i4>5</vt:i4>
      </vt:variant>
      <vt:variant>
        <vt:lpwstr>http://www.wikipedia.fr/</vt:lpwstr>
      </vt:variant>
      <vt:variant>
        <vt:lpwstr/>
      </vt:variant>
      <vt:variant>
        <vt:i4>5046386</vt:i4>
      </vt:variant>
      <vt:variant>
        <vt:i4>1353</vt:i4>
      </vt:variant>
      <vt:variant>
        <vt:i4>0</vt:i4>
      </vt:variant>
      <vt:variant>
        <vt:i4>5</vt:i4>
      </vt:variant>
      <vt:variant>
        <vt:lpwstr>http://www.droitbelge.be/contrats/AC_contrat_de_travail.pdf</vt:lpwstr>
      </vt:variant>
      <vt:variant>
        <vt:lpwstr/>
      </vt:variant>
      <vt:variant>
        <vt:i4>11403324</vt:i4>
      </vt:variant>
      <vt:variant>
        <vt:i4>1350</vt:i4>
      </vt:variant>
      <vt:variant>
        <vt:i4>0</vt:i4>
      </vt:variant>
      <vt:variant>
        <vt:i4>5</vt:i4>
      </vt:variant>
      <vt:variant>
        <vt:lpwstr>../Local Settings/Temp/Temporary Directory 1 for skydrive-2013-03-12.zip/bpost punie pour concurrence déloyale</vt:lpwstr>
      </vt:variant>
      <vt:variant>
        <vt:lpwstr/>
      </vt:variant>
      <vt:variant>
        <vt:i4>14221379</vt:i4>
      </vt:variant>
      <vt:variant>
        <vt:i4>1347</vt:i4>
      </vt:variant>
      <vt:variant>
        <vt:i4>0</vt:i4>
      </vt:variant>
      <vt:variant>
        <vt:i4>5</vt:i4>
      </vt:variant>
      <vt:variant>
        <vt:lpwstr>../Local Settings/Temp/Temporary Directory 1 for skydrive-2013-03-12.zip/Une guéguerre entre deux laitiers de Mariakerke</vt:lpwstr>
      </vt:variant>
      <vt:variant>
        <vt:lpwstr/>
      </vt:variant>
      <vt:variant>
        <vt:i4>7798841</vt:i4>
      </vt:variant>
      <vt:variant>
        <vt:i4>1344</vt:i4>
      </vt:variant>
      <vt:variant>
        <vt:i4>0</vt:i4>
      </vt:variant>
      <vt:variant>
        <vt:i4>5</vt:i4>
      </vt:variant>
      <vt:variant>
        <vt:lpwstr>http://www.rtl.be/info/economie/monde/860986/enquete-ikea-une-societe-de-surete-dement-tout-acte-frauduleux</vt:lpwstr>
      </vt:variant>
      <vt:variant>
        <vt:lpwstr/>
      </vt:variant>
      <vt:variant>
        <vt:i4>1376259</vt:i4>
      </vt:variant>
      <vt:variant>
        <vt:i4>1341</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hit10</vt:lpwstr>
      </vt:variant>
      <vt:variant>
        <vt:i4>1835011</vt:i4>
      </vt:variant>
      <vt:variant>
        <vt:i4>1338</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hit8</vt:lpwstr>
      </vt:variant>
      <vt:variant>
        <vt:i4>1900547</vt:i4>
      </vt:variant>
      <vt:variant>
        <vt:i4>1335</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hit9</vt:lpwstr>
      </vt:variant>
      <vt:variant>
        <vt:i4>1245187</vt:i4>
      </vt:variant>
      <vt:variant>
        <vt:i4>1332</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hit7</vt:lpwstr>
      </vt:variant>
      <vt:variant>
        <vt:i4>2162728</vt:i4>
      </vt:variant>
      <vt:variant>
        <vt:i4>1329</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LNK0023</vt:lpwstr>
      </vt:variant>
      <vt:variant>
        <vt:i4>2097213</vt:i4>
      </vt:variant>
      <vt:variant>
        <vt:i4>1326</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Art.71</vt:lpwstr>
      </vt:variant>
      <vt:variant>
        <vt:i4>1835011</vt:i4>
      </vt:variant>
      <vt:variant>
        <vt:i4>1323</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hit8</vt:lpwstr>
      </vt:variant>
      <vt:variant>
        <vt:i4>1179651</vt:i4>
      </vt:variant>
      <vt:variant>
        <vt:i4>1320</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hit6</vt:lpwstr>
      </vt:variant>
      <vt:variant>
        <vt:i4>1245187</vt:i4>
      </vt:variant>
      <vt:variant>
        <vt:i4>1317</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hit7</vt:lpwstr>
      </vt:variant>
      <vt:variant>
        <vt:i4>1114115</vt:i4>
      </vt:variant>
      <vt:variant>
        <vt:i4>1314</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hit5</vt:lpwstr>
      </vt:variant>
      <vt:variant>
        <vt:i4>2293821</vt:i4>
      </vt:variant>
      <vt:variant>
        <vt:i4>1311</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Art.72</vt:lpwstr>
      </vt:variant>
      <vt:variant>
        <vt:i4>2162749</vt:i4>
      </vt:variant>
      <vt:variant>
        <vt:i4>1308</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Art.70</vt:lpwstr>
      </vt:variant>
      <vt:variant>
        <vt:i4>1179651</vt:i4>
      </vt:variant>
      <vt:variant>
        <vt:i4>1305</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hit6</vt:lpwstr>
      </vt:variant>
      <vt:variant>
        <vt:i4>1048579</vt:i4>
      </vt:variant>
      <vt:variant>
        <vt:i4>1302</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hit4</vt:lpwstr>
      </vt:variant>
      <vt:variant>
        <vt:i4>1114115</vt:i4>
      </vt:variant>
      <vt:variant>
        <vt:i4>1299</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hit5</vt:lpwstr>
      </vt:variant>
      <vt:variant>
        <vt:i4>1507331</vt:i4>
      </vt:variant>
      <vt:variant>
        <vt:i4>1296</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hit3</vt:lpwstr>
      </vt:variant>
      <vt:variant>
        <vt:i4>5439514</vt:i4>
      </vt:variant>
      <vt:variant>
        <vt:i4>1293</vt:i4>
      </vt:variant>
      <vt:variant>
        <vt:i4>0</vt:i4>
      </vt:variant>
      <vt:variant>
        <vt:i4>5</vt:i4>
      </vt:variant>
      <vt:variant>
        <vt:lpwstr>http://www.ejustice.just.fgov.be/cgi_loi/loi_a1.pl?imgcn.x=54&amp;imgcn.y=15&amp;DETAIL=2010040603%2FF&amp;caller=list&amp;row_id=1&amp;numero=2&amp;rech=5&amp;cn=2010040603&amp;table_name=LOI&amp;nm=2010011166&amp;la=F&amp;chercher=t&amp;language=fr&amp;fr=f&amp;choix1=ET&amp;choix2=ET&amp;text1=offre+conjointe&amp;fromtab=loi_all&amp;sql=%28%28+tit+contains+proximity+40+characters+%28+%27offre%27%2526+%27conjointe%27%29+++%29+or+%28+text+contains+proximity+40+characters+%28+%27offre%27%2526+%27conjointe%27%29+++%29%29and+actif+%3D+%27Y%27&amp;tri=dd+AS+RANK+&amp;trier=promulgation</vt:lpwstr>
      </vt:variant>
      <vt:variant>
        <vt:lpwstr>LNKR0022</vt:lpwstr>
      </vt:variant>
      <vt:variant>
        <vt:i4>2883647</vt:i4>
      </vt:variant>
      <vt:variant>
        <vt:i4>1290</vt:i4>
      </vt:variant>
      <vt:variant>
        <vt:i4>0</vt:i4>
      </vt:variant>
      <vt:variant>
        <vt:i4>5</vt:i4>
      </vt:variant>
      <vt:variant>
        <vt:lpwstr>http://www.mymajorcompany.com/</vt:lpwstr>
      </vt:variant>
      <vt:variant>
        <vt:lpwstr/>
      </vt:variant>
      <vt:variant>
        <vt:i4>3735664</vt:i4>
      </vt:variant>
      <vt:variant>
        <vt:i4>1287</vt:i4>
      </vt:variant>
      <vt:variant>
        <vt:i4>0</vt:i4>
      </vt:variant>
      <vt:variant>
        <vt:i4>5</vt:i4>
      </vt:variant>
      <vt:variant>
        <vt:lpwstr>http://www.kickstarter.com/</vt:lpwstr>
      </vt:variant>
      <vt:variant>
        <vt:lpwstr/>
      </vt:variant>
      <vt:variant>
        <vt:i4>1376277</vt:i4>
      </vt:variant>
      <vt:variant>
        <vt:i4>1284</vt:i4>
      </vt:variant>
      <vt:variant>
        <vt:i4>0</vt:i4>
      </vt:variant>
      <vt:variant>
        <vt:i4>5</vt:i4>
      </vt:variant>
      <vt:variant>
        <vt:lpwstr>http://www.mymicroinvest.be/</vt:lpwstr>
      </vt:variant>
      <vt:variant>
        <vt:lpwstr/>
      </vt:variant>
      <vt:variant>
        <vt:i4>5308469</vt:i4>
      </vt:variant>
      <vt:variant>
        <vt:i4>1272</vt:i4>
      </vt:variant>
      <vt:variant>
        <vt:i4>0</vt:i4>
      </vt:variant>
      <vt:variant>
        <vt:i4>5</vt:i4>
      </vt:variant>
      <vt:variant>
        <vt:lpwstr>http://erickirsch.be/ledrco/credits_entreprises.ppt</vt:lpwstr>
      </vt:variant>
      <vt:variant>
        <vt:lpwstr/>
      </vt:variant>
      <vt:variant>
        <vt:i4>7995454</vt:i4>
      </vt:variant>
      <vt:variant>
        <vt:i4>1269</vt:i4>
      </vt:variant>
      <vt:variant>
        <vt:i4>0</vt:i4>
      </vt:variant>
      <vt:variant>
        <vt:i4>5</vt:i4>
      </vt:variant>
      <vt:variant>
        <vt:lpwstr>http://www.cofidis.com/CofidisCom/SHARED/d4m10y2004h18m18s9m93.pdf</vt:lpwstr>
      </vt:variant>
      <vt:variant>
        <vt:lpwstr/>
      </vt:variant>
      <vt:variant>
        <vt:i4>7995454</vt:i4>
      </vt:variant>
      <vt:variant>
        <vt:i4>1266</vt:i4>
      </vt:variant>
      <vt:variant>
        <vt:i4>0</vt:i4>
      </vt:variant>
      <vt:variant>
        <vt:i4>5</vt:i4>
      </vt:variant>
      <vt:variant>
        <vt:lpwstr>http://www.cofidis.com/CofidisCom/SHARED/d4m10y2004h18m18s9m93.pdf</vt:lpwstr>
      </vt:variant>
      <vt:variant>
        <vt:lpwstr/>
      </vt:variant>
      <vt:variant>
        <vt:i4>393325</vt:i4>
      </vt:variant>
      <vt:variant>
        <vt:i4>1263</vt:i4>
      </vt:variant>
      <vt:variant>
        <vt:i4>0</vt:i4>
      </vt:variant>
      <vt:variant>
        <vt:i4>5</vt:i4>
      </vt:variant>
      <vt:variant>
        <vt:lpwstr>http://fr.wikipedia.org/wiki/B%C3%A2le_II</vt:lpwstr>
      </vt:variant>
      <vt:variant>
        <vt:lpwstr/>
      </vt:variant>
      <vt:variant>
        <vt:i4>3407932</vt:i4>
      </vt:variant>
      <vt:variant>
        <vt:i4>1260</vt:i4>
      </vt:variant>
      <vt:variant>
        <vt:i4>0</vt:i4>
      </vt:variant>
      <vt:variant>
        <vt:i4>5</vt:i4>
      </vt:variant>
      <vt:variant>
        <vt:lpwstr>http://www.oecd.org/dataoecd/13/32/19515766.pdf</vt:lpwstr>
      </vt:variant>
      <vt:variant>
        <vt:lpwstr/>
      </vt:variant>
      <vt:variant>
        <vt:i4>2883586</vt:i4>
      </vt:variant>
      <vt:variant>
        <vt:i4>1257</vt:i4>
      </vt:variant>
      <vt:variant>
        <vt:i4>0</vt:i4>
      </vt:variant>
      <vt:variant>
        <vt:i4>5</vt:i4>
      </vt:variant>
      <vt:variant>
        <vt:lpwstr>http://www.abb-bvb.be/edu/fr/mod001/art_risques.html</vt:lpwstr>
      </vt:variant>
      <vt:variant>
        <vt:lpwstr/>
      </vt:variant>
      <vt:variant>
        <vt:i4>2359333</vt:i4>
      </vt:variant>
      <vt:variant>
        <vt:i4>1254</vt:i4>
      </vt:variant>
      <vt:variant>
        <vt:i4>0</vt:i4>
      </vt:variant>
      <vt:variant>
        <vt:i4>5</vt:i4>
      </vt:variant>
      <vt:variant>
        <vt:lpwstr>http://www.dailymotion.com/video/xnbnpg_voyage-en-fractales_webcam</vt:lpwstr>
      </vt:variant>
      <vt:variant>
        <vt:lpwstr>.UO1KCaynf2o</vt:lpwstr>
      </vt:variant>
      <vt:variant>
        <vt:i4>7864388</vt:i4>
      </vt:variant>
      <vt:variant>
        <vt:i4>1251</vt:i4>
      </vt:variant>
      <vt:variant>
        <vt:i4>0</vt:i4>
      </vt:variant>
      <vt:variant>
        <vt:i4>5</vt:i4>
      </vt:variant>
      <vt:variant>
        <vt:lpwstr>http://fr.wikipedia.org/wiki/Beno%C3%AEt_Mandelbrot</vt:lpwstr>
      </vt:variant>
      <vt:variant>
        <vt:lpwstr/>
      </vt:variant>
      <vt:variant>
        <vt:i4>196697</vt:i4>
      </vt:variant>
      <vt:variant>
        <vt:i4>1248</vt:i4>
      </vt:variant>
      <vt:variant>
        <vt:i4>0</vt:i4>
      </vt:variant>
      <vt:variant>
        <vt:i4>5</vt:i4>
      </vt:variant>
      <vt:variant>
        <vt:lpwstr>http://fr.wikipedia.org/wiki/Fractale</vt:lpwstr>
      </vt:variant>
      <vt:variant>
        <vt:lpwstr/>
      </vt:variant>
      <vt:variant>
        <vt:i4>6815761</vt:i4>
      </vt:variant>
      <vt:variant>
        <vt:i4>1245</vt:i4>
      </vt:variant>
      <vt:variant>
        <vt:i4>0</vt:i4>
      </vt:variant>
      <vt:variant>
        <vt:i4>5</vt:i4>
      </vt:variant>
      <vt:variant>
        <vt:lpwstr>http://fr.wikipedia.org/wiki/Effet_papillon</vt:lpwstr>
      </vt:variant>
      <vt:variant>
        <vt:lpwstr/>
      </vt:variant>
      <vt:variant>
        <vt:i4>4325397</vt:i4>
      </vt:variant>
      <vt:variant>
        <vt:i4>1242</vt:i4>
      </vt:variant>
      <vt:variant>
        <vt:i4>0</vt:i4>
      </vt:variant>
      <vt:variant>
        <vt:i4>5</vt:i4>
      </vt:variant>
      <vt:variant>
        <vt:lpwstr>http://fr.wikipedia.org/wiki/Th%C3%A9orie_du_chaos</vt:lpwstr>
      </vt:variant>
      <vt:variant>
        <vt:lpwstr/>
      </vt:variant>
      <vt:variant>
        <vt:i4>4522050</vt:i4>
      </vt:variant>
      <vt:variant>
        <vt:i4>1239</vt:i4>
      </vt:variant>
      <vt:variant>
        <vt:i4>0</vt:i4>
      </vt:variant>
      <vt:variant>
        <vt:i4>5</vt:i4>
      </vt:variant>
      <vt:variant>
        <vt:lpwstr>http://fr.wikipedia.org/wiki/N%C3%A9o-keyn%C3%A9sianisme</vt:lpwstr>
      </vt:variant>
      <vt:variant>
        <vt:lpwstr/>
      </vt:variant>
      <vt:variant>
        <vt:i4>6881287</vt:i4>
      </vt:variant>
      <vt:variant>
        <vt:i4>1236</vt:i4>
      </vt:variant>
      <vt:variant>
        <vt:i4>0</vt:i4>
      </vt:variant>
      <vt:variant>
        <vt:i4>5</vt:i4>
      </vt:variant>
      <vt:variant>
        <vt:lpwstr>http://fr.wikipedia.org/wiki/Raymond_Barre</vt:lpwstr>
      </vt:variant>
      <vt:variant>
        <vt:lpwstr/>
      </vt:variant>
      <vt:variant>
        <vt:i4>3735632</vt:i4>
      </vt:variant>
      <vt:variant>
        <vt:i4>1233</vt:i4>
      </vt:variant>
      <vt:variant>
        <vt:i4>0</vt:i4>
      </vt:variant>
      <vt:variant>
        <vt:i4>5</vt:i4>
      </vt:variant>
      <vt:variant>
        <vt:lpwstr>http://fr.wikipedia.org/wiki/Milton_Friedman</vt:lpwstr>
      </vt:variant>
      <vt:variant>
        <vt:lpwstr/>
      </vt:variant>
      <vt:variant>
        <vt:i4>327748</vt:i4>
      </vt:variant>
      <vt:variant>
        <vt:i4>1230</vt:i4>
      </vt:variant>
      <vt:variant>
        <vt:i4>0</vt:i4>
      </vt:variant>
      <vt:variant>
        <vt:i4>5</vt:i4>
      </vt:variant>
      <vt:variant>
        <vt:lpwstr>http://fr.wikipedia.org/wiki/Mon%C3%A9tarisme</vt:lpwstr>
      </vt:variant>
      <vt:variant>
        <vt:lpwstr/>
      </vt:variant>
      <vt:variant>
        <vt:i4>6881293</vt:i4>
      </vt:variant>
      <vt:variant>
        <vt:i4>1227</vt:i4>
      </vt:variant>
      <vt:variant>
        <vt:i4>0</vt:i4>
      </vt:variant>
      <vt:variant>
        <vt:i4>5</vt:i4>
      </vt:variant>
      <vt:variant>
        <vt:lpwstr>http://fr.wikipedia.org/wiki/March%C3%A9_financier</vt:lpwstr>
      </vt:variant>
      <vt:variant>
        <vt:lpwstr/>
      </vt:variant>
      <vt:variant>
        <vt:i4>8060934</vt:i4>
      </vt:variant>
      <vt:variant>
        <vt:i4>1224</vt:i4>
      </vt:variant>
      <vt:variant>
        <vt:i4>0</vt:i4>
      </vt:variant>
      <vt:variant>
        <vt:i4>5</vt:i4>
      </vt:variant>
      <vt:variant>
        <vt:lpwstr>http://fr.wikipedia.org/wiki/March%C3%A9_Mon%C3%A9taire</vt:lpwstr>
      </vt:variant>
      <vt:variant>
        <vt:lpwstr/>
      </vt:variant>
      <vt:variant>
        <vt:i4>1769550</vt:i4>
      </vt:variant>
      <vt:variant>
        <vt:i4>1221</vt:i4>
      </vt:variant>
      <vt:variant>
        <vt:i4>0</vt:i4>
      </vt:variant>
      <vt:variant>
        <vt:i4>5</vt:i4>
      </vt:variant>
      <vt:variant>
        <vt:lpwstr>http://fr.wikipedia.org/wiki/John_Maynard_Keynes</vt:lpwstr>
      </vt:variant>
      <vt:variant>
        <vt:lpwstr/>
      </vt:variant>
      <vt:variant>
        <vt:i4>3735632</vt:i4>
      </vt:variant>
      <vt:variant>
        <vt:i4>1218</vt:i4>
      </vt:variant>
      <vt:variant>
        <vt:i4>0</vt:i4>
      </vt:variant>
      <vt:variant>
        <vt:i4>5</vt:i4>
      </vt:variant>
      <vt:variant>
        <vt:lpwstr>http://fr.wikipedia.org/wiki/Milton_Friedman</vt:lpwstr>
      </vt:variant>
      <vt:variant>
        <vt:lpwstr/>
      </vt:variant>
      <vt:variant>
        <vt:i4>327748</vt:i4>
      </vt:variant>
      <vt:variant>
        <vt:i4>1215</vt:i4>
      </vt:variant>
      <vt:variant>
        <vt:i4>0</vt:i4>
      </vt:variant>
      <vt:variant>
        <vt:i4>5</vt:i4>
      </vt:variant>
      <vt:variant>
        <vt:lpwstr>http://fr.wikipedia.org/wiki/Mon%C3%A9tarisme</vt:lpwstr>
      </vt:variant>
      <vt:variant>
        <vt:lpwstr/>
      </vt:variant>
      <vt:variant>
        <vt:i4>7274537</vt:i4>
      </vt:variant>
      <vt:variant>
        <vt:i4>1212</vt:i4>
      </vt:variant>
      <vt:variant>
        <vt:i4>0</vt:i4>
      </vt:variant>
      <vt:variant>
        <vt:i4>5</vt:i4>
      </vt:variant>
      <vt:variant>
        <vt:lpwstr>http://fr.wikipedia.org/wiki/Keyn%C3%A9sianisme</vt:lpwstr>
      </vt:variant>
      <vt:variant>
        <vt:lpwstr/>
      </vt:variant>
      <vt:variant>
        <vt:i4>4980741</vt:i4>
      </vt:variant>
      <vt:variant>
        <vt:i4>1209</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hit6</vt:lpwstr>
      </vt:variant>
      <vt:variant>
        <vt:i4>5111813</vt:i4>
      </vt:variant>
      <vt:variant>
        <vt:i4>1206</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hit4</vt:lpwstr>
      </vt:variant>
      <vt:variant>
        <vt:i4>5177349</vt:i4>
      </vt:variant>
      <vt:variant>
        <vt:i4>1203</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hit5</vt:lpwstr>
      </vt:variant>
      <vt:variant>
        <vt:i4>4784133</vt:i4>
      </vt:variant>
      <vt:variant>
        <vt:i4>1200</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hit3</vt:lpwstr>
      </vt:variant>
      <vt:variant>
        <vt:i4>5111813</vt:i4>
      </vt:variant>
      <vt:variant>
        <vt:i4>1197</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hit4</vt:lpwstr>
      </vt:variant>
      <vt:variant>
        <vt:i4>4718597</vt:i4>
      </vt:variant>
      <vt:variant>
        <vt:i4>1194</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hit2</vt:lpwstr>
      </vt:variant>
      <vt:variant>
        <vt:i4>8192046</vt:i4>
      </vt:variant>
      <vt:variant>
        <vt:i4>1191</vt:i4>
      </vt:variant>
      <vt:variant>
        <vt:i4>0</vt:i4>
      </vt:variant>
      <vt:variant>
        <vt:i4>5</vt:i4>
      </vt:variant>
      <vt:variant>
        <vt:lpwstr>http://www.ejustice.just.fgov.be/cgi_loi/loi_a1.pl?DETAIL=1807091030%2FF&amp;amp;caller=list&amp;amp;row_id=1&amp;amp;numero=6&amp;amp;rech=6&amp;amp;cn=1807091030&amp;amp;table_name=LOI&amp;amp;nm=1807091050&amp;amp;la=F&amp;amp;dt=CODE+DE+COMMERCE&amp;amp;language=fr&amp;amp;fr=f&amp;amp;choix1=ET&amp;amp;choix2=ET&amp;amp;fromtab=loi_all&amp;amp;trier=promulga</vt:lpwstr>
      </vt:variant>
      <vt:variant>
        <vt:lpwstr>LNK0005</vt:lpwstr>
      </vt:variant>
      <vt:variant>
        <vt:i4>4784144</vt:i4>
      </vt:variant>
      <vt:variant>
        <vt:i4>1188</vt:i4>
      </vt:variant>
      <vt:variant>
        <vt:i4>0</vt:i4>
      </vt:variant>
      <vt:variant>
        <vt:i4>5</vt:i4>
      </vt:variant>
      <vt:variant>
        <vt:lpwstr>http://fr.wikipedia.org/wiki/Fonds_de_commerce</vt:lpwstr>
      </vt:variant>
      <vt:variant>
        <vt:lpwstr/>
      </vt:variant>
      <vt:variant>
        <vt:i4>7995433</vt:i4>
      </vt:variant>
      <vt:variant>
        <vt:i4>1185</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LNK0004</vt:lpwstr>
      </vt:variant>
      <vt:variant>
        <vt:i4>8126521</vt:i4>
      </vt:variant>
      <vt:variant>
        <vt:i4>1182</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Art.24</vt:lpwstr>
      </vt:variant>
      <vt:variant>
        <vt:i4>4849666</vt:i4>
      </vt:variant>
      <vt:variant>
        <vt:i4>1179</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hit7</vt:lpwstr>
      </vt:variant>
      <vt:variant>
        <vt:i4>4718594</vt:i4>
      </vt:variant>
      <vt:variant>
        <vt:i4>1176</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hit5</vt:lpwstr>
      </vt:variant>
      <vt:variant>
        <vt:i4>8060985</vt:i4>
      </vt:variant>
      <vt:variant>
        <vt:i4>1173</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Art.23</vt:lpwstr>
      </vt:variant>
      <vt:variant>
        <vt:i4>4915202</vt:i4>
      </vt:variant>
      <vt:variant>
        <vt:i4>1170</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hit6</vt:lpwstr>
      </vt:variant>
      <vt:variant>
        <vt:i4>4784130</vt:i4>
      </vt:variant>
      <vt:variant>
        <vt:i4>1167</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hit4</vt:lpwstr>
      </vt:variant>
      <vt:variant>
        <vt:i4>7995449</vt:i4>
      </vt:variant>
      <vt:variant>
        <vt:i4>1164</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Art.22</vt:lpwstr>
      </vt:variant>
      <vt:variant>
        <vt:i4>7929913</vt:i4>
      </vt:variant>
      <vt:variant>
        <vt:i4>1161</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Art.21</vt:lpwstr>
      </vt:variant>
      <vt:variant>
        <vt:i4>4718594</vt:i4>
      </vt:variant>
      <vt:variant>
        <vt:i4>1158</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hit5</vt:lpwstr>
      </vt:variant>
      <vt:variant>
        <vt:i4>5111810</vt:i4>
      </vt:variant>
      <vt:variant>
        <vt:i4>1155</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hit3</vt:lpwstr>
      </vt:variant>
      <vt:variant>
        <vt:i4>7995433</vt:i4>
      </vt:variant>
      <vt:variant>
        <vt:i4>1152</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LNK0003</vt:lpwstr>
      </vt:variant>
      <vt:variant>
        <vt:i4>4784130</vt:i4>
      </vt:variant>
      <vt:variant>
        <vt:i4>1149</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hit4</vt:lpwstr>
      </vt:variant>
      <vt:variant>
        <vt:i4>5177346</vt:i4>
      </vt:variant>
      <vt:variant>
        <vt:i4>1146</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hit2</vt:lpwstr>
      </vt:variant>
      <vt:variant>
        <vt:i4>8192058</vt:i4>
      </vt:variant>
      <vt:variant>
        <vt:i4>1143</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Art.15</vt:lpwstr>
      </vt:variant>
      <vt:variant>
        <vt:i4>8126522</vt:i4>
      </vt:variant>
      <vt:variant>
        <vt:i4>1140</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Art.14</vt:lpwstr>
      </vt:variant>
      <vt:variant>
        <vt:i4>5570671</vt:i4>
      </vt:variant>
      <vt:variant>
        <vt:i4>1137</vt:i4>
      </vt:variant>
      <vt:variant>
        <vt:i4>0</vt:i4>
      </vt:variant>
      <vt:variant>
        <vt:i4>5</vt:i4>
      </vt:variant>
      <vt:variant>
        <vt:lpwstr>http://www.ejustice.just.fgov.be/cgi_loi/change_lg.pl?language=fr&amp;amp;la=F&amp;amp;table_name=loi&amp;amp;cn=2008071844</vt:lpwstr>
      </vt:variant>
      <vt:variant>
        <vt:lpwstr/>
      </vt:variant>
      <vt:variant>
        <vt:i4>5111810</vt:i4>
      </vt:variant>
      <vt:variant>
        <vt:i4>1134</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hit3</vt:lpwstr>
      </vt:variant>
      <vt:variant>
        <vt:i4>4980738</vt:i4>
      </vt:variant>
      <vt:variant>
        <vt:i4>1131</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hit1</vt:lpwstr>
      </vt:variant>
      <vt:variant>
        <vt:i4>5177346</vt:i4>
      </vt:variant>
      <vt:variant>
        <vt:i4>1128</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hit2</vt:lpwstr>
      </vt:variant>
      <vt:variant>
        <vt:i4>5046274</vt:i4>
      </vt:variant>
      <vt:variant>
        <vt:i4>1125</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hit0</vt:lpwstr>
      </vt:variant>
      <vt:variant>
        <vt:i4>8060986</vt:i4>
      </vt:variant>
      <vt:variant>
        <vt:i4>1122</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Art.13</vt:lpwstr>
      </vt:variant>
      <vt:variant>
        <vt:i4>4718603</vt:i4>
      </vt:variant>
      <vt:variant>
        <vt:i4>1119</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Art.7</vt:lpwstr>
      </vt:variant>
      <vt:variant>
        <vt:i4>4718603</vt:i4>
      </vt:variant>
      <vt:variant>
        <vt:i4>1116</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Art.4</vt:lpwstr>
      </vt:variant>
      <vt:variant>
        <vt:i4>4718603</vt:i4>
      </vt:variant>
      <vt:variant>
        <vt:i4>1113</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Art.3</vt:lpwstr>
      </vt:variant>
      <vt:variant>
        <vt:i4>5832784</vt:i4>
      </vt:variant>
      <vt:variant>
        <vt:i4>1110</vt:i4>
      </vt:variant>
      <vt:variant>
        <vt:i4>0</vt:i4>
      </vt:variant>
      <vt:variant>
        <vt:i4>5</vt:i4>
      </vt:variant>
      <vt:variant>
        <vt:lpwstr>http://www.ejustice.just.fgov.be/cgi_loi/loi_a1.pl?DETAIL=1807091030%2FF&amp;amp;caller=list&amp;amp;row_id=1&amp;amp;numero=1&amp;amp;rech=1&amp;amp;cn=1807091030&amp;amp;table_name=LOI&amp;amp;nm=1807091050&amp;amp;la=F&amp;amp;dt=CODE+DE+COMMERCE&amp;amp;language=fr&amp;amp;fr=f&amp;amp;choix1=ET&amp;amp;choix2=ET&amp;amp;fromtab=loi_all&amp;amp;trier=promulga</vt:lpwstr>
      </vt:variant>
      <vt:variant>
        <vt:lpwstr>Art.2bis</vt:lpwstr>
      </vt:variant>
      <vt:variant>
        <vt:i4>5832825</vt:i4>
      </vt:variant>
      <vt:variant>
        <vt:i4>1107</vt:i4>
      </vt:variant>
      <vt:variant>
        <vt:i4>0</vt:i4>
      </vt:variant>
      <vt:variant>
        <vt:i4>5</vt:i4>
      </vt:variant>
      <vt:variant>
        <vt:lpwstr>http://www.erickirsch.be/ledrco/regimes_fiscaux.xls</vt:lpwstr>
      </vt:variant>
      <vt:variant>
        <vt:lpwstr/>
      </vt:variant>
      <vt:variant>
        <vt:i4>7536641</vt:i4>
      </vt:variant>
      <vt:variant>
        <vt:i4>1104</vt:i4>
      </vt:variant>
      <vt:variant>
        <vt:i4>0</vt:i4>
      </vt:variant>
      <vt:variant>
        <vt:i4>5</vt:i4>
      </vt:variant>
      <vt:variant>
        <vt:lpwstr>http://fr.wikipedia.org/wiki/Arrondissement_judiciaire_de_Belgique</vt:lpwstr>
      </vt:variant>
      <vt:variant>
        <vt:lpwstr/>
      </vt:variant>
      <vt:variant>
        <vt:i4>5701634</vt:i4>
      </vt:variant>
      <vt:variant>
        <vt:i4>1101</vt:i4>
      </vt:variant>
      <vt:variant>
        <vt:i4>0</vt:i4>
      </vt:variant>
      <vt:variant>
        <vt:i4>5</vt:i4>
      </vt:variant>
      <vt:variant>
        <vt:lpwstr>http://fr.wikipedia.org/w/index.php?title=Pr%C3%A9sident_de_tribunal&amp;amp;action=edit&amp;amp;redlink=1</vt:lpwstr>
      </vt:variant>
      <vt:variant>
        <vt:lpwstr/>
      </vt:variant>
      <vt:variant>
        <vt:i4>1835071</vt:i4>
      </vt:variant>
      <vt:variant>
        <vt:i4>1098</vt:i4>
      </vt:variant>
      <vt:variant>
        <vt:i4>0</vt:i4>
      </vt:variant>
      <vt:variant>
        <vt:i4>5</vt:i4>
      </vt:variant>
      <vt:variant>
        <vt:lpwstr>http://fr.wikipedia.org/w/index.php?title=Jugement_%28judiciaire%29&amp;amp;action=edit&amp;amp;redlink=1</vt:lpwstr>
      </vt:variant>
      <vt:variant>
        <vt:lpwstr/>
      </vt:variant>
      <vt:variant>
        <vt:i4>6357052</vt:i4>
      </vt:variant>
      <vt:variant>
        <vt:i4>1095</vt:i4>
      </vt:variant>
      <vt:variant>
        <vt:i4>0</vt:i4>
      </vt:variant>
      <vt:variant>
        <vt:i4>5</vt:i4>
      </vt:variant>
      <vt:variant>
        <vt:lpwstr>http://fr.wikipedia.org/wiki/Appel</vt:lpwstr>
      </vt:variant>
      <vt:variant>
        <vt:lpwstr/>
      </vt:variant>
      <vt:variant>
        <vt:i4>3145840</vt:i4>
      </vt:variant>
      <vt:variant>
        <vt:i4>1092</vt:i4>
      </vt:variant>
      <vt:variant>
        <vt:i4>0</vt:i4>
      </vt:variant>
      <vt:variant>
        <vt:i4>5</vt:i4>
      </vt:variant>
      <vt:variant>
        <vt:lpwstr>http://fr.wikipedia.org/wiki/Billet_%C3%A0_ordre</vt:lpwstr>
      </vt:variant>
      <vt:variant>
        <vt:lpwstr/>
      </vt:variant>
      <vt:variant>
        <vt:i4>2687072</vt:i4>
      </vt:variant>
      <vt:variant>
        <vt:i4>1089</vt:i4>
      </vt:variant>
      <vt:variant>
        <vt:i4>0</vt:i4>
      </vt:variant>
      <vt:variant>
        <vt:i4>5</vt:i4>
      </vt:variant>
      <vt:variant>
        <vt:lpwstr>http://fr.wikipedia.org/wiki/Lettre_de_change</vt:lpwstr>
      </vt:variant>
      <vt:variant>
        <vt:lpwstr/>
      </vt:variant>
      <vt:variant>
        <vt:i4>6881324</vt:i4>
      </vt:variant>
      <vt:variant>
        <vt:i4>1086</vt:i4>
      </vt:variant>
      <vt:variant>
        <vt:i4>0</vt:i4>
      </vt:variant>
      <vt:variant>
        <vt:i4>5</vt:i4>
      </vt:variant>
      <vt:variant>
        <vt:lpwstr>http://fr.wikipedia.org/wiki/Entreprise</vt:lpwstr>
      </vt:variant>
      <vt:variant>
        <vt:lpwstr/>
      </vt:variant>
      <vt:variant>
        <vt:i4>720973</vt:i4>
      </vt:variant>
      <vt:variant>
        <vt:i4>1083</vt:i4>
      </vt:variant>
      <vt:variant>
        <vt:i4>0</vt:i4>
      </vt:variant>
      <vt:variant>
        <vt:i4>5</vt:i4>
      </vt:variant>
      <vt:variant>
        <vt:lpwstr>http://fr.wikipedia.org/wiki/Faillite</vt:lpwstr>
      </vt:variant>
      <vt:variant>
        <vt:lpwstr/>
      </vt:variant>
      <vt:variant>
        <vt:i4>458827</vt:i4>
      </vt:variant>
      <vt:variant>
        <vt:i4>1080</vt:i4>
      </vt:variant>
      <vt:variant>
        <vt:i4>0</vt:i4>
      </vt:variant>
      <vt:variant>
        <vt:i4>5</vt:i4>
      </vt:variant>
      <vt:variant>
        <vt:lpwstr>http://fr.wikipedia.org/wiki/Justice_de_paix_en_Belgique</vt:lpwstr>
      </vt:variant>
      <vt:variant>
        <vt:lpwstr/>
      </vt:variant>
      <vt:variant>
        <vt:i4>1638470</vt:i4>
      </vt:variant>
      <vt:variant>
        <vt:i4>1077</vt:i4>
      </vt:variant>
      <vt:variant>
        <vt:i4>0</vt:i4>
      </vt:variant>
      <vt:variant>
        <vt:i4>5</vt:i4>
      </vt:variant>
      <vt:variant>
        <vt:lpwstr>http://fr.wikipedia.org/wiki/Loi</vt:lpwstr>
      </vt:variant>
      <vt:variant>
        <vt:lpwstr/>
      </vt:variant>
      <vt:variant>
        <vt:i4>589899</vt:i4>
      </vt:variant>
      <vt:variant>
        <vt:i4>1074</vt:i4>
      </vt:variant>
      <vt:variant>
        <vt:i4>0</vt:i4>
      </vt:variant>
      <vt:variant>
        <vt:i4>5</vt:i4>
      </vt:variant>
      <vt:variant>
        <vt:lpwstr>http://fr.wikipedia.org/wiki/Justice</vt:lpwstr>
      </vt:variant>
      <vt:variant>
        <vt:lpwstr/>
      </vt:variant>
      <vt:variant>
        <vt:i4>524392</vt:i4>
      </vt:variant>
      <vt:variant>
        <vt:i4>1071</vt:i4>
      </vt:variant>
      <vt:variant>
        <vt:i4>0</vt:i4>
      </vt:variant>
      <vt:variant>
        <vt:i4>5</vt:i4>
      </vt:variant>
      <vt:variant>
        <vt:lpwstr>http://fr.wikipedia.org/wiki/Premier_ressort</vt:lpwstr>
      </vt:variant>
      <vt:variant>
        <vt:lpwstr/>
      </vt:variant>
      <vt:variant>
        <vt:i4>4456492</vt:i4>
      </vt:variant>
      <vt:variant>
        <vt:i4>1068</vt:i4>
      </vt:variant>
      <vt:variant>
        <vt:i4>0</vt:i4>
      </vt:variant>
      <vt:variant>
        <vt:i4>5</vt:i4>
      </vt:variant>
      <vt:variant>
        <vt:lpwstr>http://fr.wikipedia.org/wiki/Tribunal_de_commerce_%28Belgique%29</vt:lpwstr>
      </vt:variant>
      <vt:variant>
        <vt:lpwstr/>
      </vt:variant>
      <vt:variant>
        <vt:i4>1769502</vt:i4>
      </vt:variant>
      <vt:variant>
        <vt:i4>1065</vt:i4>
      </vt:variant>
      <vt:variant>
        <vt:i4>0</vt:i4>
      </vt:variant>
      <vt:variant>
        <vt:i4>5</vt:i4>
      </vt:variant>
      <vt:variant>
        <vt:lpwstr>http://www.avocats-legalex-namur.be/introduction-droit/sources-droit.html</vt:lpwstr>
      </vt:variant>
      <vt:variant>
        <vt:lpwstr/>
      </vt:variant>
      <vt:variant>
        <vt:i4>720908</vt:i4>
      </vt:variant>
      <vt:variant>
        <vt:i4>1062</vt:i4>
      </vt:variant>
      <vt:variant>
        <vt:i4>0</vt:i4>
      </vt:variant>
      <vt:variant>
        <vt:i4>5</vt:i4>
      </vt:variant>
      <vt:variant>
        <vt:lpwstr>http://users.skynet.be/avocats/lasca.htm</vt:lpwstr>
      </vt:variant>
      <vt:variant>
        <vt:lpwstr/>
      </vt:variant>
      <vt:variant>
        <vt:i4>3801129</vt:i4>
      </vt:variant>
      <vt:variant>
        <vt:i4>1059</vt:i4>
      </vt:variant>
      <vt:variant>
        <vt:i4>0</vt:i4>
      </vt:variant>
      <vt:variant>
        <vt:i4>5</vt:i4>
      </vt:variant>
      <vt:variant>
        <vt:lpwstr>http://users.skynet.be/avocats/droitcom.htm</vt:lpwstr>
      </vt:variant>
      <vt:variant>
        <vt:lpwstr/>
      </vt:variant>
      <vt:variant>
        <vt:i4>917509</vt:i4>
      </vt:variant>
      <vt:variant>
        <vt:i4>1056</vt:i4>
      </vt:variant>
      <vt:variant>
        <vt:i4>0</vt:i4>
      </vt:variant>
      <vt:variant>
        <vt:i4>5</vt:i4>
      </vt:variant>
      <vt:variant>
        <vt:lpwstr>http://www.belgium.be/fr/justice/organisation/tribunaux/</vt:lpwstr>
      </vt:variant>
      <vt:variant>
        <vt:lpwstr/>
      </vt:variant>
      <vt:variant>
        <vt:i4>7209062</vt:i4>
      </vt:variant>
      <vt:variant>
        <vt:i4>1053</vt:i4>
      </vt:variant>
      <vt:variant>
        <vt:i4>0</vt:i4>
      </vt:variant>
      <vt:variant>
        <vt:i4>5</vt:i4>
      </vt:variant>
      <vt:variant>
        <vt:lpwstr>http://www.juridat.be/</vt:lpwstr>
      </vt:variant>
      <vt:variant>
        <vt:lpwstr/>
      </vt:variant>
      <vt:variant>
        <vt:i4>3014662</vt:i4>
      </vt:variant>
      <vt:variant>
        <vt:i4>1050</vt:i4>
      </vt:variant>
      <vt:variant>
        <vt:i4>0</vt:i4>
      </vt:variant>
      <vt:variant>
        <vt:i4>5</vt:i4>
      </vt:variant>
      <vt:variant>
        <vt:lpwstr>http://www.juridat.be/pyramide_fr2.php</vt:lpwstr>
      </vt:variant>
      <vt:variant>
        <vt:lpwstr/>
      </vt:variant>
      <vt:variant>
        <vt:i4>3145844</vt:i4>
      </vt:variant>
      <vt:variant>
        <vt:i4>1047</vt:i4>
      </vt:variant>
      <vt:variant>
        <vt:i4>0</vt:i4>
      </vt:variant>
      <vt:variant>
        <vt:i4>5</vt:i4>
      </vt:variant>
      <vt:variant>
        <vt:lpwstr>http://kirsch.c.la/</vt:lpwstr>
      </vt:variant>
      <vt:variant>
        <vt:lpwstr/>
      </vt:variant>
      <vt:variant>
        <vt:i4>1835066</vt:i4>
      </vt:variant>
      <vt:variant>
        <vt:i4>1040</vt:i4>
      </vt:variant>
      <vt:variant>
        <vt:i4>0</vt:i4>
      </vt:variant>
      <vt:variant>
        <vt:i4>5</vt:i4>
      </vt:variant>
      <vt:variant>
        <vt:lpwstr/>
      </vt:variant>
      <vt:variant>
        <vt:lpwstr>_Toc387783678</vt:lpwstr>
      </vt:variant>
      <vt:variant>
        <vt:i4>1835066</vt:i4>
      </vt:variant>
      <vt:variant>
        <vt:i4>1034</vt:i4>
      </vt:variant>
      <vt:variant>
        <vt:i4>0</vt:i4>
      </vt:variant>
      <vt:variant>
        <vt:i4>5</vt:i4>
      </vt:variant>
      <vt:variant>
        <vt:lpwstr/>
      </vt:variant>
      <vt:variant>
        <vt:lpwstr>_Toc387783677</vt:lpwstr>
      </vt:variant>
      <vt:variant>
        <vt:i4>1835066</vt:i4>
      </vt:variant>
      <vt:variant>
        <vt:i4>1028</vt:i4>
      </vt:variant>
      <vt:variant>
        <vt:i4>0</vt:i4>
      </vt:variant>
      <vt:variant>
        <vt:i4>5</vt:i4>
      </vt:variant>
      <vt:variant>
        <vt:lpwstr/>
      </vt:variant>
      <vt:variant>
        <vt:lpwstr>_Toc387783676</vt:lpwstr>
      </vt:variant>
      <vt:variant>
        <vt:i4>1835066</vt:i4>
      </vt:variant>
      <vt:variant>
        <vt:i4>1022</vt:i4>
      </vt:variant>
      <vt:variant>
        <vt:i4>0</vt:i4>
      </vt:variant>
      <vt:variant>
        <vt:i4>5</vt:i4>
      </vt:variant>
      <vt:variant>
        <vt:lpwstr/>
      </vt:variant>
      <vt:variant>
        <vt:lpwstr>_Toc387783675</vt:lpwstr>
      </vt:variant>
      <vt:variant>
        <vt:i4>1835066</vt:i4>
      </vt:variant>
      <vt:variant>
        <vt:i4>1016</vt:i4>
      </vt:variant>
      <vt:variant>
        <vt:i4>0</vt:i4>
      </vt:variant>
      <vt:variant>
        <vt:i4>5</vt:i4>
      </vt:variant>
      <vt:variant>
        <vt:lpwstr/>
      </vt:variant>
      <vt:variant>
        <vt:lpwstr>_Toc387783674</vt:lpwstr>
      </vt:variant>
      <vt:variant>
        <vt:i4>1835066</vt:i4>
      </vt:variant>
      <vt:variant>
        <vt:i4>1010</vt:i4>
      </vt:variant>
      <vt:variant>
        <vt:i4>0</vt:i4>
      </vt:variant>
      <vt:variant>
        <vt:i4>5</vt:i4>
      </vt:variant>
      <vt:variant>
        <vt:lpwstr/>
      </vt:variant>
      <vt:variant>
        <vt:lpwstr>_Toc387783673</vt:lpwstr>
      </vt:variant>
      <vt:variant>
        <vt:i4>1835066</vt:i4>
      </vt:variant>
      <vt:variant>
        <vt:i4>1004</vt:i4>
      </vt:variant>
      <vt:variant>
        <vt:i4>0</vt:i4>
      </vt:variant>
      <vt:variant>
        <vt:i4>5</vt:i4>
      </vt:variant>
      <vt:variant>
        <vt:lpwstr/>
      </vt:variant>
      <vt:variant>
        <vt:lpwstr>_Toc387783672</vt:lpwstr>
      </vt:variant>
      <vt:variant>
        <vt:i4>1835066</vt:i4>
      </vt:variant>
      <vt:variant>
        <vt:i4>998</vt:i4>
      </vt:variant>
      <vt:variant>
        <vt:i4>0</vt:i4>
      </vt:variant>
      <vt:variant>
        <vt:i4>5</vt:i4>
      </vt:variant>
      <vt:variant>
        <vt:lpwstr/>
      </vt:variant>
      <vt:variant>
        <vt:lpwstr>_Toc387783671</vt:lpwstr>
      </vt:variant>
      <vt:variant>
        <vt:i4>1835066</vt:i4>
      </vt:variant>
      <vt:variant>
        <vt:i4>992</vt:i4>
      </vt:variant>
      <vt:variant>
        <vt:i4>0</vt:i4>
      </vt:variant>
      <vt:variant>
        <vt:i4>5</vt:i4>
      </vt:variant>
      <vt:variant>
        <vt:lpwstr/>
      </vt:variant>
      <vt:variant>
        <vt:lpwstr>_Toc387783670</vt:lpwstr>
      </vt:variant>
      <vt:variant>
        <vt:i4>1900602</vt:i4>
      </vt:variant>
      <vt:variant>
        <vt:i4>986</vt:i4>
      </vt:variant>
      <vt:variant>
        <vt:i4>0</vt:i4>
      </vt:variant>
      <vt:variant>
        <vt:i4>5</vt:i4>
      </vt:variant>
      <vt:variant>
        <vt:lpwstr/>
      </vt:variant>
      <vt:variant>
        <vt:lpwstr>_Toc387783669</vt:lpwstr>
      </vt:variant>
      <vt:variant>
        <vt:i4>1900602</vt:i4>
      </vt:variant>
      <vt:variant>
        <vt:i4>980</vt:i4>
      </vt:variant>
      <vt:variant>
        <vt:i4>0</vt:i4>
      </vt:variant>
      <vt:variant>
        <vt:i4>5</vt:i4>
      </vt:variant>
      <vt:variant>
        <vt:lpwstr/>
      </vt:variant>
      <vt:variant>
        <vt:lpwstr>_Toc387783668</vt:lpwstr>
      </vt:variant>
      <vt:variant>
        <vt:i4>1900602</vt:i4>
      </vt:variant>
      <vt:variant>
        <vt:i4>974</vt:i4>
      </vt:variant>
      <vt:variant>
        <vt:i4>0</vt:i4>
      </vt:variant>
      <vt:variant>
        <vt:i4>5</vt:i4>
      </vt:variant>
      <vt:variant>
        <vt:lpwstr/>
      </vt:variant>
      <vt:variant>
        <vt:lpwstr>_Toc387783667</vt:lpwstr>
      </vt:variant>
      <vt:variant>
        <vt:i4>1900602</vt:i4>
      </vt:variant>
      <vt:variant>
        <vt:i4>968</vt:i4>
      </vt:variant>
      <vt:variant>
        <vt:i4>0</vt:i4>
      </vt:variant>
      <vt:variant>
        <vt:i4>5</vt:i4>
      </vt:variant>
      <vt:variant>
        <vt:lpwstr/>
      </vt:variant>
      <vt:variant>
        <vt:lpwstr>_Toc387783666</vt:lpwstr>
      </vt:variant>
      <vt:variant>
        <vt:i4>1900602</vt:i4>
      </vt:variant>
      <vt:variant>
        <vt:i4>962</vt:i4>
      </vt:variant>
      <vt:variant>
        <vt:i4>0</vt:i4>
      </vt:variant>
      <vt:variant>
        <vt:i4>5</vt:i4>
      </vt:variant>
      <vt:variant>
        <vt:lpwstr/>
      </vt:variant>
      <vt:variant>
        <vt:lpwstr>_Toc387783665</vt:lpwstr>
      </vt:variant>
      <vt:variant>
        <vt:i4>1900602</vt:i4>
      </vt:variant>
      <vt:variant>
        <vt:i4>956</vt:i4>
      </vt:variant>
      <vt:variant>
        <vt:i4>0</vt:i4>
      </vt:variant>
      <vt:variant>
        <vt:i4>5</vt:i4>
      </vt:variant>
      <vt:variant>
        <vt:lpwstr/>
      </vt:variant>
      <vt:variant>
        <vt:lpwstr>_Toc387783664</vt:lpwstr>
      </vt:variant>
      <vt:variant>
        <vt:i4>1900602</vt:i4>
      </vt:variant>
      <vt:variant>
        <vt:i4>950</vt:i4>
      </vt:variant>
      <vt:variant>
        <vt:i4>0</vt:i4>
      </vt:variant>
      <vt:variant>
        <vt:i4>5</vt:i4>
      </vt:variant>
      <vt:variant>
        <vt:lpwstr/>
      </vt:variant>
      <vt:variant>
        <vt:lpwstr>_Toc387783663</vt:lpwstr>
      </vt:variant>
      <vt:variant>
        <vt:i4>1900602</vt:i4>
      </vt:variant>
      <vt:variant>
        <vt:i4>944</vt:i4>
      </vt:variant>
      <vt:variant>
        <vt:i4>0</vt:i4>
      </vt:variant>
      <vt:variant>
        <vt:i4>5</vt:i4>
      </vt:variant>
      <vt:variant>
        <vt:lpwstr/>
      </vt:variant>
      <vt:variant>
        <vt:lpwstr>_Toc387783662</vt:lpwstr>
      </vt:variant>
      <vt:variant>
        <vt:i4>1900602</vt:i4>
      </vt:variant>
      <vt:variant>
        <vt:i4>938</vt:i4>
      </vt:variant>
      <vt:variant>
        <vt:i4>0</vt:i4>
      </vt:variant>
      <vt:variant>
        <vt:i4>5</vt:i4>
      </vt:variant>
      <vt:variant>
        <vt:lpwstr/>
      </vt:variant>
      <vt:variant>
        <vt:lpwstr>_Toc387783661</vt:lpwstr>
      </vt:variant>
      <vt:variant>
        <vt:i4>1900602</vt:i4>
      </vt:variant>
      <vt:variant>
        <vt:i4>932</vt:i4>
      </vt:variant>
      <vt:variant>
        <vt:i4>0</vt:i4>
      </vt:variant>
      <vt:variant>
        <vt:i4>5</vt:i4>
      </vt:variant>
      <vt:variant>
        <vt:lpwstr/>
      </vt:variant>
      <vt:variant>
        <vt:lpwstr>_Toc387783660</vt:lpwstr>
      </vt:variant>
      <vt:variant>
        <vt:i4>1966138</vt:i4>
      </vt:variant>
      <vt:variant>
        <vt:i4>926</vt:i4>
      </vt:variant>
      <vt:variant>
        <vt:i4>0</vt:i4>
      </vt:variant>
      <vt:variant>
        <vt:i4>5</vt:i4>
      </vt:variant>
      <vt:variant>
        <vt:lpwstr/>
      </vt:variant>
      <vt:variant>
        <vt:lpwstr>_Toc387783659</vt:lpwstr>
      </vt:variant>
      <vt:variant>
        <vt:i4>1966138</vt:i4>
      </vt:variant>
      <vt:variant>
        <vt:i4>920</vt:i4>
      </vt:variant>
      <vt:variant>
        <vt:i4>0</vt:i4>
      </vt:variant>
      <vt:variant>
        <vt:i4>5</vt:i4>
      </vt:variant>
      <vt:variant>
        <vt:lpwstr/>
      </vt:variant>
      <vt:variant>
        <vt:lpwstr>_Toc387783658</vt:lpwstr>
      </vt:variant>
      <vt:variant>
        <vt:i4>1966138</vt:i4>
      </vt:variant>
      <vt:variant>
        <vt:i4>914</vt:i4>
      </vt:variant>
      <vt:variant>
        <vt:i4>0</vt:i4>
      </vt:variant>
      <vt:variant>
        <vt:i4>5</vt:i4>
      </vt:variant>
      <vt:variant>
        <vt:lpwstr/>
      </vt:variant>
      <vt:variant>
        <vt:lpwstr>_Toc387783657</vt:lpwstr>
      </vt:variant>
      <vt:variant>
        <vt:i4>1966138</vt:i4>
      </vt:variant>
      <vt:variant>
        <vt:i4>908</vt:i4>
      </vt:variant>
      <vt:variant>
        <vt:i4>0</vt:i4>
      </vt:variant>
      <vt:variant>
        <vt:i4>5</vt:i4>
      </vt:variant>
      <vt:variant>
        <vt:lpwstr/>
      </vt:variant>
      <vt:variant>
        <vt:lpwstr>_Toc387783656</vt:lpwstr>
      </vt:variant>
      <vt:variant>
        <vt:i4>1966138</vt:i4>
      </vt:variant>
      <vt:variant>
        <vt:i4>902</vt:i4>
      </vt:variant>
      <vt:variant>
        <vt:i4>0</vt:i4>
      </vt:variant>
      <vt:variant>
        <vt:i4>5</vt:i4>
      </vt:variant>
      <vt:variant>
        <vt:lpwstr/>
      </vt:variant>
      <vt:variant>
        <vt:lpwstr>_Toc387783655</vt:lpwstr>
      </vt:variant>
      <vt:variant>
        <vt:i4>1966138</vt:i4>
      </vt:variant>
      <vt:variant>
        <vt:i4>896</vt:i4>
      </vt:variant>
      <vt:variant>
        <vt:i4>0</vt:i4>
      </vt:variant>
      <vt:variant>
        <vt:i4>5</vt:i4>
      </vt:variant>
      <vt:variant>
        <vt:lpwstr/>
      </vt:variant>
      <vt:variant>
        <vt:lpwstr>_Toc387783654</vt:lpwstr>
      </vt:variant>
      <vt:variant>
        <vt:i4>1966138</vt:i4>
      </vt:variant>
      <vt:variant>
        <vt:i4>890</vt:i4>
      </vt:variant>
      <vt:variant>
        <vt:i4>0</vt:i4>
      </vt:variant>
      <vt:variant>
        <vt:i4>5</vt:i4>
      </vt:variant>
      <vt:variant>
        <vt:lpwstr/>
      </vt:variant>
      <vt:variant>
        <vt:lpwstr>_Toc387783653</vt:lpwstr>
      </vt:variant>
      <vt:variant>
        <vt:i4>1966138</vt:i4>
      </vt:variant>
      <vt:variant>
        <vt:i4>884</vt:i4>
      </vt:variant>
      <vt:variant>
        <vt:i4>0</vt:i4>
      </vt:variant>
      <vt:variant>
        <vt:i4>5</vt:i4>
      </vt:variant>
      <vt:variant>
        <vt:lpwstr/>
      </vt:variant>
      <vt:variant>
        <vt:lpwstr>_Toc387783652</vt:lpwstr>
      </vt:variant>
      <vt:variant>
        <vt:i4>1966138</vt:i4>
      </vt:variant>
      <vt:variant>
        <vt:i4>878</vt:i4>
      </vt:variant>
      <vt:variant>
        <vt:i4>0</vt:i4>
      </vt:variant>
      <vt:variant>
        <vt:i4>5</vt:i4>
      </vt:variant>
      <vt:variant>
        <vt:lpwstr/>
      </vt:variant>
      <vt:variant>
        <vt:lpwstr>_Toc387783651</vt:lpwstr>
      </vt:variant>
      <vt:variant>
        <vt:i4>1966138</vt:i4>
      </vt:variant>
      <vt:variant>
        <vt:i4>872</vt:i4>
      </vt:variant>
      <vt:variant>
        <vt:i4>0</vt:i4>
      </vt:variant>
      <vt:variant>
        <vt:i4>5</vt:i4>
      </vt:variant>
      <vt:variant>
        <vt:lpwstr/>
      </vt:variant>
      <vt:variant>
        <vt:lpwstr>_Toc387783650</vt:lpwstr>
      </vt:variant>
      <vt:variant>
        <vt:i4>2031674</vt:i4>
      </vt:variant>
      <vt:variant>
        <vt:i4>866</vt:i4>
      </vt:variant>
      <vt:variant>
        <vt:i4>0</vt:i4>
      </vt:variant>
      <vt:variant>
        <vt:i4>5</vt:i4>
      </vt:variant>
      <vt:variant>
        <vt:lpwstr/>
      </vt:variant>
      <vt:variant>
        <vt:lpwstr>_Toc387783649</vt:lpwstr>
      </vt:variant>
      <vt:variant>
        <vt:i4>2031674</vt:i4>
      </vt:variant>
      <vt:variant>
        <vt:i4>860</vt:i4>
      </vt:variant>
      <vt:variant>
        <vt:i4>0</vt:i4>
      </vt:variant>
      <vt:variant>
        <vt:i4>5</vt:i4>
      </vt:variant>
      <vt:variant>
        <vt:lpwstr/>
      </vt:variant>
      <vt:variant>
        <vt:lpwstr>_Toc387783648</vt:lpwstr>
      </vt:variant>
      <vt:variant>
        <vt:i4>2031674</vt:i4>
      </vt:variant>
      <vt:variant>
        <vt:i4>854</vt:i4>
      </vt:variant>
      <vt:variant>
        <vt:i4>0</vt:i4>
      </vt:variant>
      <vt:variant>
        <vt:i4>5</vt:i4>
      </vt:variant>
      <vt:variant>
        <vt:lpwstr/>
      </vt:variant>
      <vt:variant>
        <vt:lpwstr>_Toc387783647</vt:lpwstr>
      </vt:variant>
      <vt:variant>
        <vt:i4>2031674</vt:i4>
      </vt:variant>
      <vt:variant>
        <vt:i4>848</vt:i4>
      </vt:variant>
      <vt:variant>
        <vt:i4>0</vt:i4>
      </vt:variant>
      <vt:variant>
        <vt:i4>5</vt:i4>
      </vt:variant>
      <vt:variant>
        <vt:lpwstr/>
      </vt:variant>
      <vt:variant>
        <vt:lpwstr>_Toc387783646</vt:lpwstr>
      </vt:variant>
      <vt:variant>
        <vt:i4>2031674</vt:i4>
      </vt:variant>
      <vt:variant>
        <vt:i4>842</vt:i4>
      </vt:variant>
      <vt:variant>
        <vt:i4>0</vt:i4>
      </vt:variant>
      <vt:variant>
        <vt:i4>5</vt:i4>
      </vt:variant>
      <vt:variant>
        <vt:lpwstr/>
      </vt:variant>
      <vt:variant>
        <vt:lpwstr>_Toc387783645</vt:lpwstr>
      </vt:variant>
      <vt:variant>
        <vt:i4>2031674</vt:i4>
      </vt:variant>
      <vt:variant>
        <vt:i4>836</vt:i4>
      </vt:variant>
      <vt:variant>
        <vt:i4>0</vt:i4>
      </vt:variant>
      <vt:variant>
        <vt:i4>5</vt:i4>
      </vt:variant>
      <vt:variant>
        <vt:lpwstr/>
      </vt:variant>
      <vt:variant>
        <vt:lpwstr>_Toc387783644</vt:lpwstr>
      </vt:variant>
      <vt:variant>
        <vt:i4>2031674</vt:i4>
      </vt:variant>
      <vt:variant>
        <vt:i4>830</vt:i4>
      </vt:variant>
      <vt:variant>
        <vt:i4>0</vt:i4>
      </vt:variant>
      <vt:variant>
        <vt:i4>5</vt:i4>
      </vt:variant>
      <vt:variant>
        <vt:lpwstr/>
      </vt:variant>
      <vt:variant>
        <vt:lpwstr>_Toc387783643</vt:lpwstr>
      </vt:variant>
      <vt:variant>
        <vt:i4>2031674</vt:i4>
      </vt:variant>
      <vt:variant>
        <vt:i4>824</vt:i4>
      </vt:variant>
      <vt:variant>
        <vt:i4>0</vt:i4>
      </vt:variant>
      <vt:variant>
        <vt:i4>5</vt:i4>
      </vt:variant>
      <vt:variant>
        <vt:lpwstr/>
      </vt:variant>
      <vt:variant>
        <vt:lpwstr>_Toc387783642</vt:lpwstr>
      </vt:variant>
      <vt:variant>
        <vt:i4>2031674</vt:i4>
      </vt:variant>
      <vt:variant>
        <vt:i4>818</vt:i4>
      </vt:variant>
      <vt:variant>
        <vt:i4>0</vt:i4>
      </vt:variant>
      <vt:variant>
        <vt:i4>5</vt:i4>
      </vt:variant>
      <vt:variant>
        <vt:lpwstr/>
      </vt:variant>
      <vt:variant>
        <vt:lpwstr>_Toc387783641</vt:lpwstr>
      </vt:variant>
      <vt:variant>
        <vt:i4>2031674</vt:i4>
      </vt:variant>
      <vt:variant>
        <vt:i4>812</vt:i4>
      </vt:variant>
      <vt:variant>
        <vt:i4>0</vt:i4>
      </vt:variant>
      <vt:variant>
        <vt:i4>5</vt:i4>
      </vt:variant>
      <vt:variant>
        <vt:lpwstr/>
      </vt:variant>
      <vt:variant>
        <vt:lpwstr>_Toc387783640</vt:lpwstr>
      </vt:variant>
      <vt:variant>
        <vt:i4>1572922</vt:i4>
      </vt:variant>
      <vt:variant>
        <vt:i4>806</vt:i4>
      </vt:variant>
      <vt:variant>
        <vt:i4>0</vt:i4>
      </vt:variant>
      <vt:variant>
        <vt:i4>5</vt:i4>
      </vt:variant>
      <vt:variant>
        <vt:lpwstr/>
      </vt:variant>
      <vt:variant>
        <vt:lpwstr>_Toc387783639</vt:lpwstr>
      </vt:variant>
      <vt:variant>
        <vt:i4>1572922</vt:i4>
      </vt:variant>
      <vt:variant>
        <vt:i4>800</vt:i4>
      </vt:variant>
      <vt:variant>
        <vt:i4>0</vt:i4>
      </vt:variant>
      <vt:variant>
        <vt:i4>5</vt:i4>
      </vt:variant>
      <vt:variant>
        <vt:lpwstr/>
      </vt:variant>
      <vt:variant>
        <vt:lpwstr>_Toc387783638</vt:lpwstr>
      </vt:variant>
      <vt:variant>
        <vt:i4>1572922</vt:i4>
      </vt:variant>
      <vt:variant>
        <vt:i4>794</vt:i4>
      </vt:variant>
      <vt:variant>
        <vt:i4>0</vt:i4>
      </vt:variant>
      <vt:variant>
        <vt:i4>5</vt:i4>
      </vt:variant>
      <vt:variant>
        <vt:lpwstr/>
      </vt:variant>
      <vt:variant>
        <vt:lpwstr>_Toc387783637</vt:lpwstr>
      </vt:variant>
      <vt:variant>
        <vt:i4>1572922</vt:i4>
      </vt:variant>
      <vt:variant>
        <vt:i4>788</vt:i4>
      </vt:variant>
      <vt:variant>
        <vt:i4>0</vt:i4>
      </vt:variant>
      <vt:variant>
        <vt:i4>5</vt:i4>
      </vt:variant>
      <vt:variant>
        <vt:lpwstr/>
      </vt:variant>
      <vt:variant>
        <vt:lpwstr>_Toc387783636</vt:lpwstr>
      </vt:variant>
      <vt:variant>
        <vt:i4>1572922</vt:i4>
      </vt:variant>
      <vt:variant>
        <vt:i4>782</vt:i4>
      </vt:variant>
      <vt:variant>
        <vt:i4>0</vt:i4>
      </vt:variant>
      <vt:variant>
        <vt:i4>5</vt:i4>
      </vt:variant>
      <vt:variant>
        <vt:lpwstr/>
      </vt:variant>
      <vt:variant>
        <vt:lpwstr>_Toc387783635</vt:lpwstr>
      </vt:variant>
      <vt:variant>
        <vt:i4>1572922</vt:i4>
      </vt:variant>
      <vt:variant>
        <vt:i4>776</vt:i4>
      </vt:variant>
      <vt:variant>
        <vt:i4>0</vt:i4>
      </vt:variant>
      <vt:variant>
        <vt:i4>5</vt:i4>
      </vt:variant>
      <vt:variant>
        <vt:lpwstr/>
      </vt:variant>
      <vt:variant>
        <vt:lpwstr>_Toc387783634</vt:lpwstr>
      </vt:variant>
      <vt:variant>
        <vt:i4>1572922</vt:i4>
      </vt:variant>
      <vt:variant>
        <vt:i4>770</vt:i4>
      </vt:variant>
      <vt:variant>
        <vt:i4>0</vt:i4>
      </vt:variant>
      <vt:variant>
        <vt:i4>5</vt:i4>
      </vt:variant>
      <vt:variant>
        <vt:lpwstr/>
      </vt:variant>
      <vt:variant>
        <vt:lpwstr>_Toc387783633</vt:lpwstr>
      </vt:variant>
      <vt:variant>
        <vt:i4>1572922</vt:i4>
      </vt:variant>
      <vt:variant>
        <vt:i4>764</vt:i4>
      </vt:variant>
      <vt:variant>
        <vt:i4>0</vt:i4>
      </vt:variant>
      <vt:variant>
        <vt:i4>5</vt:i4>
      </vt:variant>
      <vt:variant>
        <vt:lpwstr/>
      </vt:variant>
      <vt:variant>
        <vt:lpwstr>_Toc387783632</vt:lpwstr>
      </vt:variant>
      <vt:variant>
        <vt:i4>1572922</vt:i4>
      </vt:variant>
      <vt:variant>
        <vt:i4>758</vt:i4>
      </vt:variant>
      <vt:variant>
        <vt:i4>0</vt:i4>
      </vt:variant>
      <vt:variant>
        <vt:i4>5</vt:i4>
      </vt:variant>
      <vt:variant>
        <vt:lpwstr/>
      </vt:variant>
      <vt:variant>
        <vt:lpwstr>_Toc387783631</vt:lpwstr>
      </vt:variant>
      <vt:variant>
        <vt:i4>1572922</vt:i4>
      </vt:variant>
      <vt:variant>
        <vt:i4>752</vt:i4>
      </vt:variant>
      <vt:variant>
        <vt:i4>0</vt:i4>
      </vt:variant>
      <vt:variant>
        <vt:i4>5</vt:i4>
      </vt:variant>
      <vt:variant>
        <vt:lpwstr/>
      </vt:variant>
      <vt:variant>
        <vt:lpwstr>_Toc387783630</vt:lpwstr>
      </vt:variant>
      <vt:variant>
        <vt:i4>1638458</vt:i4>
      </vt:variant>
      <vt:variant>
        <vt:i4>746</vt:i4>
      </vt:variant>
      <vt:variant>
        <vt:i4>0</vt:i4>
      </vt:variant>
      <vt:variant>
        <vt:i4>5</vt:i4>
      </vt:variant>
      <vt:variant>
        <vt:lpwstr/>
      </vt:variant>
      <vt:variant>
        <vt:lpwstr>_Toc387783629</vt:lpwstr>
      </vt:variant>
      <vt:variant>
        <vt:i4>1638458</vt:i4>
      </vt:variant>
      <vt:variant>
        <vt:i4>740</vt:i4>
      </vt:variant>
      <vt:variant>
        <vt:i4>0</vt:i4>
      </vt:variant>
      <vt:variant>
        <vt:i4>5</vt:i4>
      </vt:variant>
      <vt:variant>
        <vt:lpwstr/>
      </vt:variant>
      <vt:variant>
        <vt:lpwstr>_Toc387783628</vt:lpwstr>
      </vt:variant>
      <vt:variant>
        <vt:i4>1638458</vt:i4>
      </vt:variant>
      <vt:variant>
        <vt:i4>734</vt:i4>
      </vt:variant>
      <vt:variant>
        <vt:i4>0</vt:i4>
      </vt:variant>
      <vt:variant>
        <vt:i4>5</vt:i4>
      </vt:variant>
      <vt:variant>
        <vt:lpwstr/>
      </vt:variant>
      <vt:variant>
        <vt:lpwstr>_Toc387783627</vt:lpwstr>
      </vt:variant>
      <vt:variant>
        <vt:i4>1638458</vt:i4>
      </vt:variant>
      <vt:variant>
        <vt:i4>728</vt:i4>
      </vt:variant>
      <vt:variant>
        <vt:i4>0</vt:i4>
      </vt:variant>
      <vt:variant>
        <vt:i4>5</vt:i4>
      </vt:variant>
      <vt:variant>
        <vt:lpwstr/>
      </vt:variant>
      <vt:variant>
        <vt:lpwstr>_Toc387783626</vt:lpwstr>
      </vt:variant>
      <vt:variant>
        <vt:i4>1638458</vt:i4>
      </vt:variant>
      <vt:variant>
        <vt:i4>722</vt:i4>
      </vt:variant>
      <vt:variant>
        <vt:i4>0</vt:i4>
      </vt:variant>
      <vt:variant>
        <vt:i4>5</vt:i4>
      </vt:variant>
      <vt:variant>
        <vt:lpwstr/>
      </vt:variant>
      <vt:variant>
        <vt:lpwstr>_Toc387783625</vt:lpwstr>
      </vt:variant>
      <vt:variant>
        <vt:i4>1638458</vt:i4>
      </vt:variant>
      <vt:variant>
        <vt:i4>716</vt:i4>
      </vt:variant>
      <vt:variant>
        <vt:i4>0</vt:i4>
      </vt:variant>
      <vt:variant>
        <vt:i4>5</vt:i4>
      </vt:variant>
      <vt:variant>
        <vt:lpwstr/>
      </vt:variant>
      <vt:variant>
        <vt:lpwstr>_Toc387783624</vt:lpwstr>
      </vt:variant>
      <vt:variant>
        <vt:i4>1638458</vt:i4>
      </vt:variant>
      <vt:variant>
        <vt:i4>710</vt:i4>
      </vt:variant>
      <vt:variant>
        <vt:i4>0</vt:i4>
      </vt:variant>
      <vt:variant>
        <vt:i4>5</vt:i4>
      </vt:variant>
      <vt:variant>
        <vt:lpwstr/>
      </vt:variant>
      <vt:variant>
        <vt:lpwstr>_Toc387783623</vt:lpwstr>
      </vt:variant>
      <vt:variant>
        <vt:i4>1638458</vt:i4>
      </vt:variant>
      <vt:variant>
        <vt:i4>704</vt:i4>
      </vt:variant>
      <vt:variant>
        <vt:i4>0</vt:i4>
      </vt:variant>
      <vt:variant>
        <vt:i4>5</vt:i4>
      </vt:variant>
      <vt:variant>
        <vt:lpwstr/>
      </vt:variant>
      <vt:variant>
        <vt:lpwstr>_Toc387783622</vt:lpwstr>
      </vt:variant>
      <vt:variant>
        <vt:i4>1638458</vt:i4>
      </vt:variant>
      <vt:variant>
        <vt:i4>698</vt:i4>
      </vt:variant>
      <vt:variant>
        <vt:i4>0</vt:i4>
      </vt:variant>
      <vt:variant>
        <vt:i4>5</vt:i4>
      </vt:variant>
      <vt:variant>
        <vt:lpwstr/>
      </vt:variant>
      <vt:variant>
        <vt:lpwstr>_Toc387783621</vt:lpwstr>
      </vt:variant>
      <vt:variant>
        <vt:i4>1638458</vt:i4>
      </vt:variant>
      <vt:variant>
        <vt:i4>692</vt:i4>
      </vt:variant>
      <vt:variant>
        <vt:i4>0</vt:i4>
      </vt:variant>
      <vt:variant>
        <vt:i4>5</vt:i4>
      </vt:variant>
      <vt:variant>
        <vt:lpwstr/>
      </vt:variant>
      <vt:variant>
        <vt:lpwstr>_Toc387783620</vt:lpwstr>
      </vt:variant>
      <vt:variant>
        <vt:i4>1703994</vt:i4>
      </vt:variant>
      <vt:variant>
        <vt:i4>686</vt:i4>
      </vt:variant>
      <vt:variant>
        <vt:i4>0</vt:i4>
      </vt:variant>
      <vt:variant>
        <vt:i4>5</vt:i4>
      </vt:variant>
      <vt:variant>
        <vt:lpwstr/>
      </vt:variant>
      <vt:variant>
        <vt:lpwstr>_Toc387783619</vt:lpwstr>
      </vt:variant>
      <vt:variant>
        <vt:i4>1703994</vt:i4>
      </vt:variant>
      <vt:variant>
        <vt:i4>680</vt:i4>
      </vt:variant>
      <vt:variant>
        <vt:i4>0</vt:i4>
      </vt:variant>
      <vt:variant>
        <vt:i4>5</vt:i4>
      </vt:variant>
      <vt:variant>
        <vt:lpwstr/>
      </vt:variant>
      <vt:variant>
        <vt:lpwstr>_Toc387783618</vt:lpwstr>
      </vt:variant>
      <vt:variant>
        <vt:i4>1703994</vt:i4>
      </vt:variant>
      <vt:variant>
        <vt:i4>674</vt:i4>
      </vt:variant>
      <vt:variant>
        <vt:i4>0</vt:i4>
      </vt:variant>
      <vt:variant>
        <vt:i4>5</vt:i4>
      </vt:variant>
      <vt:variant>
        <vt:lpwstr/>
      </vt:variant>
      <vt:variant>
        <vt:lpwstr>_Toc387783617</vt:lpwstr>
      </vt:variant>
      <vt:variant>
        <vt:i4>1703994</vt:i4>
      </vt:variant>
      <vt:variant>
        <vt:i4>668</vt:i4>
      </vt:variant>
      <vt:variant>
        <vt:i4>0</vt:i4>
      </vt:variant>
      <vt:variant>
        <vt:i4>5</vt:i4>
      </vt:variant>
      <vt:variant>
        <vt:lpwstr/>
      </vt:variant>
      <vt:variant>
        <vt:lpwstr>_Toc387783616</vt:lpwstr>
      </vt:variant>
      <vt:variant>
        <vt:i4>1703994</vt:i4>
      </vt:variant>
      <vt:variant>
        <vt:i4>662</vt:i4>
      </vt:variant>
      <vt:variant>
        <vt:i4>0</vt:i4>
      </vt:variant>
      <vt:variant>
        <vt:i4>5</vt:i4>
      </vt:variant>
      <vt:variant>
        <vt:lpwstr/>
      </vt:variant>
      <vt:variant>
        <vt:lpwstr>_Toc387783615</vt:lpwstr>
      </vt:variant>
      <vt:variant>
        <vt:i4>1703994</vt:i4>
      </vt:variant>
      <vt:variant>
        <vt:i4>656</vt:i4>
      </vt:variant>
      <vt:variant>
        <vt:i4>0</vt:i4>
      </vt:variant>
      <vt:variant>
        <vt:i4>5</vt:i4>
      </vt:variant>
      <vt:variant>
        <vt:lpwstr/>
      </vt:variant>
      <vt:variant>
        <vt:lpwstr>_Toc387783614</vt:lpwstr>
      </vt:variant>
      <vt:variant>
        <vt:i4>1703994</vt:i4>
      </vt:variant>
      <vt:variant>
        <vt:i4>650</vt:i4>
      </vt:variant>
      <vt:variant>
        <vt:i4>0</vt:i4>
      </vt:variant>
      <vt:variant>
        <vt:i4>5</vt:i4>
      </vt:variant>
      <vt:variant>
        <vt:lpwstr/>
      </vt:variant>
      <vt:variant>
        <vt:lpwstr>_Toc387783613</vt:lpwstr>
      </vt:variant>
      <vt:variant>
        <vt:i4>1703994</vt:i4>
      </vt:variant>
      <vt:variant>
        <vt:i4>644</vt:i4>
      </vt:variant>
      <vt:variant>
        <vt:i4>0</vt:i4>
      </vt:variant>
      <vt:variant>
        <vt:i4>5</vt:i4>
      </vt:variant>
      <vt:variant>
        <vt:lpwstr/>
      </vt:variant>
      <vt:variant>
        <vt:lpwstr>_Toc387783612</vt:lpwstr>
      </vt:variant>
      <vt:variant>
        <vt:i4>1703994</vt:i4>
      </vt:variant>
      <vt:variant>
        <vt:i4>638</vt:i4>
      </vt:variant>
      <vt:variant>
        <vt:i4>0</vt:i4>
      </vt:variant>
      <vt:variant>
        <vt:i4>5</vt:i4>
      </vt:variant>
      <vt:variant>
        <vt:lpwstr/>
      </vt:variant>
      <vt:variant>
        <vt:lpwstr>_Toc387783611</vt:lpwstr>
      </vt:variant>
      <vt:variant>
        <vt:i4>1703994</vt:i4>
      </vt:variant>
      <vt:variant>
        <vt:i4>632</vt:i4>
      </vt:variant>
      <vt:variant>
        <vt:i4>0</vt:i4>
      </vt:variant>
      <vt:variant>
        <vt:i4>5</vt:i4>
      </vt:variant>
      <vt:variant>
        <vt:lpwstr/>
      </vt:variant>
      <vt:variant>
        <vt:lpwstr>_Toc387783610</vt:lpwstr>
      </vt:variant>
      <vt:variant>
        <vt:i4>1769530</vt:i4>
      </vt:variant>
      <vt:variant>
        <vt:i4>626</vt:i4>
      </vt:variant>
      <vt:variant>
        <vt:i4>0</vt:i4>
      </vt:variant>
      <vt:variant>
        <vt:i4>5</vt:i4>
      </vt:variant>
      <vt:variant>
        <vt:lpwstr/>
      </vt:variant>
      <vt:variant>
        <vt:lpwstr>_Toc387783609</vt:lpwstr>
      </vt:variant>
      <vt:variant>
        <vt:i4>1769530</vt:i4>
      </vt:variant>
      <vt:variant>
        <vt:i4>620</vt:i4>
      </vt:variant>
      <vt:variant>
        <vt:i4>0</vt:i4>
      </vt:variant>
      <vt:variant>
        <vt:i4>5</vt:i4>
      </vt:variant>
      <vt:variant>
        <vt:lpwstr/>
      </vt:variant>
      <vt:variant>
        <vt:lpwstr>_Toc387783608</vt:lpwstr>
      </vt:variant>
      <vt:variant>
        <vt:i4>1769530</vt:i4>
      </vt:variant>
      <vt:variant>
        <vt:i4>614</vt:i4>
      </vt:variant>
      <vt:variant>
        <vt:i4>0</vt:i4>
      </vt:variant>
      <vt:variant>
        <vt:i4>5</vt:i4>
      </vt:variant>
      <vt:variant>
        <vt:lpwstr/>
      </vt:variant>
      <vt:variant>
        <vt:lpwstr>_Toc387783607</vt:lpwstr>
      </vt:variant>
      <vt:variant>
        <vt:i4>1769530</vt:i4>
      </vt:variant>
      <vt:variant>
        <vt:i4>608</vt:i4>
      </vt:variant>
      <vt:variant>
        <vt:i4>0</vt:i4>
      </vt:variant>
      <vt:variant>
        <vt:i4>5</vt:i4>
      </vt:variant>
      <vt:variant>
        <vt:lpwstr/>
      </vt:variant>
      <vt:variant>
        <vt:lpwstr>_Toc387783606</vt:lpwstr>
      </vt:variant>
      <vt:variant>
        <vt:i4>1769530</vt:i4>
      </vt:variant>
      <vt:variant>
        <vt:i4>602</vt:i4>
      </vt:variant>
      <vt:variant>
        <vt:i4>0</vt:i4>
      </vt:variant>
      <vt:variant>
        <vt:i4>5</vt:i4>
      </vt:variant>
      <vt:variant>
        <vt:lpwstr/>
      </vt:variant>
      <vt:variant>
        <vt:lpwstr>_Toc387783605</vt:lpwstr>
      </vt:variant>
      <vt:variant>
        <vt:i4>1769530</vt:i4>
      </vt:variant>
      <vt:variant>
        <vt:i4>596</vt:i4>
      </vt:variant>
      <vt:variant>
        <vt:i4>0</vt:i4>
      </vt:variant>
      <vt:variant>
        <vt:i4>5</vt:i4>
      </vt:variant>
      <vt:variant>
        <vt:lpwstr/>
      </vt:variant>
      <vt:variant>
        <vt:lpwstr>_Toc387783604</vt:lpwstr>
      </vt:variant>
      <vt:variant>
        <vt:i4>1769530</vt:i4>
      </vt:variant>
      <vt:variant>
        <vt:i4>590</vt:i4>
      </vt:variant>
      <vt:variant>
        <vt:i4>0</vt:i4>
      </vt:variant>
      <vt:variant>
        <vt:i4>5</vt:i4>
      </vt:variant>
      <vt:variant>
        <vt:lpwstr/>
      </vt:variant>
      <vt:variant>
        <vt:lpwstr>_Toc387783603</vt:lpwstr>
      </vt:variant>
      <vt:variant>
        <vt:i4>1769530</vt:i4>
      </vt:variant>
      <vt:variant>
        <vt:i4>584</vt:i4>
      </vt:variant>
      <vt:variant>
        <vt:i4>0</vt:i4>
      </vt:variant>
      <vt:variant>
        <vt:i4>5</vt:i4>
      </vt:variant>
      <vt:variant>
        <vt:lpwstr/>
      </vt:variant>
      <vt:variant>
        <vt:lpwstr>_Toc387783602</vt:lpwstr>
      </vt:variant>
      <vt:variant>
        <vt:i4>1769530</vt:i4>
      </vt:variant>
      <vt:variant>
        <vt:i4>578</vt:i4>
      </vt:variant>
      <vt:variant>
        <vt:i4>0</vt:i4>
      </vt:variant>
      <vt:variant>
        <vt:i4>5</vt:i4>
      </vt:variant>
      <vt:variant>
        <vt:lpwstr/>
      </vt:variant>
      <vt:variant>
        <vt:lpwstr>_Toc387783601</vt:lpwstr>
      </vt:variant>
      <vt:variant>
        <vt:i4>1769530</vt:i4>
      </vt:variant>
      <vt:variant>
        <vt:i4>572</vt:i4>
      </vt:variant>
      <vt:variant>
        <vt:i4>0</vt:i4>
      </vt:variant>
      <vt:variant>
        <vt:i4>5</vt:i4>
      </vt:variant>
      <vt:variant>
        <vt:lpwstr/>
      </vt:variant>
      <vt:variant>
        <vt:lpwstr>_Toc387783600</vt:lpwstr>
      </vt:variant>
      <vt:variant>
        <vt:i4>1179705</vt:i4>
      </vt:variant>
      <vt:variant>
        <vt:i4>566</vt:i4>
      </vt:variant>
      <vt:variant>
        <vt:i4>0</vt:i4>
      </vt:variant>
      <vt:variant>
        <vt:i4>5</vt:i4>
      </vt:variant>
      <vt:variant>
        <vt:lpwstr/>
      </vt:variant>
      <vt:variant>
        <vt:lpwstr>_Toc387783599</vt:lpwstr>
      </vt:variant>
      <vt:variant>
        <vt:i4>1179705</vt:i4>
      </vt:variant>
      <vt:variant>
        <vt:i4>560</vt:i4>
      </vt:variant>
      <vt:variant>
        <vt:i4>0</vt:i4>
      </vt:variant>
      <vt:variant>
        <vt:i4>5</vt:i4>
      </vt:variant>
      <vt:variant>
        <vt:lpwstr/>
      </vt:variant>
      <vt:variant>
        <vt:lpwstr>_Toc387783598</vt:lpwstr>
      </vt:variant>
      <vt:variant>
        <vt:i4>1179705</vt:i4>
      </vt:variant>
      <vt:variant>
        <vt:i4>554</vt:i4>
      </vt:variant>
      <vt:variant>
        <vt:i4>0</vt:i4>
      </vt:variant>
      <vt:variant>
        <vt:i4>5</vt:i4>
      </vt:variant>
      <vt:variant>
        <vt:lpwstr/>
      </vt:variant>
      <vt:variant>
        <vt:lpwstr>_Toc387783597</vt:lpwstr>
      </vt:variant>
      <vt:variant>
        <vt:i4>1179705</vt:i4>
      </vt:variant>
      <vt:variant>
        <vt:i4>548</vt:i4>
      </vt:variant>
      <vt:variant>
        <vt:i4>0</vt:i4>
      </vt:variant>
      <vt:variant>
        <vt:i4>5</vt:i4>
      </vt:variant>
      <vt:variant>
        <vt:lpwstr/>
      </vt:variant>
      <vt:variant>
        <vt:lpwstr>_Toc387783596</vt:lpwstr>
      </vt:variant>
      <vt:variant>
        <vt:i4>1179705</vt:i4>
      </vt:variant>
      <vt:variant>
        <vt:i4>542</vt:i4>
      </vt:variant>
      <vt:variant>
        <vt:i4>0</vt:i4>
      </vt:variant>
      <vt:variant>
        <vt:i4>5</vt:i4>
      </vt:variant>
      <vt:variant>
        <vt:lpwstr/>
      </vt:variant>
      <vt:variant>
        <vt:lpwstr>_Toc387783595</vt:lpwstr>
      </vt:variant>
      <vt:variant>
        <vt:i4>1179705</vt:i4>
      </vt:variant>
      <vt:variant>
        <vt:i4>536</vt:i4>
      </vt:variant>
      <vt:variant>
        <vt:i4>0</vt:i4>
      </vt:variant>
      <vt:variant>
        <vt:i4>5</vt:i4>
      </vt:variant>
      <vt:variant>
        <vt:lpwstr/>
      </vt:variant>
      <vt:variant>
        <vt:lpwstr>_Toc387783594</vt:lpwstr>
      </vt:variant>
      <vt:variant>
        <vt:i4>1179705</vt:i4>
      </vt:variant>
      <vt:variant>
        <vt:i4>530</vt:i4>
      </vt:variant>
      <vt:variant>
        <vt:i4>0</vt:i4>
      </vt:variant>
      <vt:variant>
        <vt:i4>5</vt:i4>
      </vt:variant>
      <vt:variant>
        <vt:lpwstr/>
      </vt:variant>
      <vt:variant>
        <vt:lpwstr>_Toc387783593</vt:lpwstr>
      </vt:variant>
      <vt:variant>
        <vt:i4>1179705</vt:i4>
      </vt:variant>
      <vt:variant>
        <vt:i4>524</vt:i4>
      </vt:variant>
      <vt:variant>
        <vt:i4>0</vt:i4>
      </vt:variant>
      <vt:variant>
        <vt:i4>5</vt:i4>
      </vt:variant>
      <vt:variant>
        <vt:lpwstr/>
      </vt:variant>
      <vt:variant>
        <vt:lpwstr>_Toc387783592</vt:lpwstr>
      </vt:variant>
      <vt:variant>
        <vt:i4>1179705</vt:i4>
      </vt:variant>
      <vt:variant>
        <vt:i4>518</vt:i4>
      </vt:variant>
      <vt:variant>
        <vt:i4>0</vt:i4>
      </vt:variant>
      <vt:variant>
        <vt:i4>5</vt:i4>
      </vt:variant>
      <vt:variant>
        <vt:lpwstr/>
      </vt:variant>
      <vt:variant>
        <vt:lpwstr>_Toc387783591</vt:lpwstr>
      </vt:variant>
      <vt:variant>
        <vt:i4>1179705</vt:i4>
      </vt:variant>
      <vt:variant>
        <vt:i4>512</vt:i4>
      </vt:variant>
      <vt:variant>
        <vt:i4>0</vt:i4>
      </vt:variant>
      <vt:variant>
        <vt:i4>5</vt:i4>
      </vt:variant>
      <vt:variant>
        <vt:lpwstr/>
      </vt:variant>
      <vt:variant>
        <vt:lpwstr>_Toc387783590</vt:lpwstr>
      </vt:variant>
      <vt:variant>
        <vt:i4>1245241</vt:i4>
      </vt:variant>
      <vt:variant>
        <vt:i4>506</vt:i4>
      </vt:variant>
      <vt:variant>
        <vt:i4>0</vt:i4>
      </vt:variant>
      <vt:variant>
        <vt:i4>5</vt:i4>
      </vt:variant>
      <vt:variant>
        <vt:lpwstr/>
      </vt:variant>
      <vt:variant>
        <vt:lpwstr>_Toc387783589</vt:lpwstr>
      </vt:variant>
      <vt:variant>
        <vt:i4>1245241</vt:i4>
      </vt:variant>
      <vt:variant>
        <vt:i4>500</vt:i4>
      </vt:variant>
      <vt:variant>
        <vt:i4>0</vt:i4>
      </vt:variant>
      <vt:variant>
        <vt:i4>5</vt:i4>
      </vt:variant>
      <vt:variant>
        <vt:lpwstr/>
      </vt:variant>
      <vt:variant>
        <vt:lpwstr>_Toc387783588</vt:lpwstr>
      </vt:variant>
      <vt:variant>
        <vt:i4>1245241</vt:i4>
      </vt:variant>
      <vt:variant>
        <vt:i4>494</vt:i4>
      </vt:variant>
      <vt:variant>
        <vt:i4>0</vt:i4>
      </vt:variant>
      <vt:variant>
        <vt:i4>5</vt:i4>
      </vt:variant>
      <vt:variant>
        <vt:lpwstr/>
      </vt:variant>
      <vt:variant>
        <vt:lpwstr>_Toc387783587</vt:lpwstr>
      </vt:variant>
      <vt:variant>
        <vt:i4>1245241</vt:i4>
      </vt:variant>
      <vt:variant>
        <vt:i4>488</vt:i4>
      </vt:variant>
      <vt:variant>
        <vt:i4>0</vt:i4>
      </vt:variant>
      <vt:variant>
        <vt:i4>5</vt:i4>
      </vt:variant>
      <vt:variant>
        <vt:lpwstr/>
      </vt:variant>
      <vt:variant>
        <vt:lpwstr>_Toc387783586</vt:lpwstr>
      </vt:variant>
      <vt:variant>
        <vt:i4>1245241</vt:i4>
      </vt:variant>
      <vt:variant>
        <vt:i4>482</vt:i4>
      </vt:variant>
      <vt:variant>
        <vt:i4>0</vt:i4>
      </vt:variant>
      <vt:variant>
        <vt:i4>5</vt:i4>
      </vt:variant>
      <vt:variant>
        <vt:lpwstr/>
      </vt:variant>
      <vt:variant>
        <vt:lpwstr>_Toc387783585</vt:lpwstr>
      </vt:variant>
      <vt:variant>
        <vt:i4>1245241</vt:i4>
      </vt:variant>
      <vt:variant>
        <vt:i4>476</vt:i4>
      </vt:variant>
      <vt:variant>
        <vt:i4>0</vt:i4>
      </vt:variant>
      <vt:variant>
        <vt:i4>5</vt:i4>
      </vt:variant>
      <vt:variant>
        <vt:lpwstr/>
      </vt:variant>
      <vt:variant>
        <vt:lpwstr>_Toc387783584</vt:lpwstr>
      </vt:variant>
      <vt:variant>
        <vt:i4>1245241</vt:i4>
      </vt:variant>
      <vt:variant>
        <vt:i4>470</vt:i4>
      </vt:variant>
      <vt:variant>
        <vt:i4>0</vt:i4>
      </vt:variant>
      <vt:variant>
        <vt:i4>5</vt:i4>
      </vt:variant>
      <vt:variant>
        <vt:lpwstr/>
      </vt:variant>
      <vt:variant>
        <vt:lpwstr>_Toc387783583</vt:lpwstr>
      </vt:variant>
      <vt:variant>
        <vt:i4>1245241</vt:i4>
      </vt:variant>
      <vt:variant>
        <vt:i4>464</vt:i4>
      </vt:variant>
      <vt:variant>
        <vt:i4>0</vt:i4>
      </vt:variant>
      <vt:variant>
        <vt:i4>5</vt:i4>
      </vt:variant>
      <vt:variant>
        <vt:lpwstr/>
      </vt:variant>
      <vt:variant>
        <vt:lpwstr>_Toc387783582</vt:lpwstr>
      </vt:variant>
      <vt:variant>
        <vt:i4>1245241</vt:i4>
      </vt:variant>
      <vt:variant>
        <vt:i4>458</vt:i4>
      </vt:variant>
      <vt:variant>
        <vt:i4>0</vt:i4>
      </vt:variant>
      <vt:variant>
        <vt:i4>5</vt:i4>
      </vt:variant>
      <vt:variant>
        <vt:lpwstr/>
      </vt:variant>
      <vt:variant>
        <vt:lpwstr>_Toc387783581</vt:lpwstr>
      </vt:variant>
      <vt:variant>
        <vt:i4>1245241</vt:i4>
      </vt:variant>
      <vt:variant>
        <vt:i4>452</vt:i4>
      </vt:variant>
      <vt:variant>
        <vt:i4>0</vt:i4>
      </vt:variant>
      <vt:variant>
        <vt:i4>5</vt:i4>
      </vt:variant>
      <vt:variant>
        <vt:lpwstr/>
      </vt:variant>
      <vt:variant>
        <vt:lpwstr>_Toc387783580</vt:lpwstr>
      </vt:variant>
      <vt:variant>
        <vt:i4>1835065</vt:i4>
      </vt:variant>
      <vt:variant>
        <vt:i4>446</vt:i4>
      </vt:variant>
      <vt:variant>
        <vt:i4>0</vt:i4>
      </vt:variant>
      <vt:variant>
        <vt:i4>5</vt:i4>
      </vt:variant>
      <vt:variant>
        <vt:lpwstr/>
      </vt:variant>
      <vt:variant>
        <vt:lpwstr>_Toc387783579</vt:lpwstr>
      </vt:variant>
      <vt:variant>
        <vt:i4>1835065</vt:i4>
      </vt:variant>
      <vt:variant>
        <vt:i4>440</vt:i4>
      </vt:variant>
      <vt:variant>
        <vt:i4>0</vt:i4>
      </vt:variant>
      <vt:variant>
        <vt:i4>5</vt:i4>
      </vt:variant>
      <vt:variant>
        <vt:lpwstr/>
      </vt:variant>
      <vt:variant>
        <vt:lpwstr>_Toc387783578</vt:lpwstr>
      </vt:variant>
      <vt:variant>
        <vt:i4>1835065</vt:i4>
      </vt:variant>
      <vt:variant>
        <vt:i4>434</vt:i4>
      </vt:variant>
      <vt:variant>
        <vt:i4>0</vt:i4>
      </vt:variant>
      <vt:variant>
        <vt:i4>5</vt:i4>
      </vt:variant>
      <vt:variant>
        <vt:lpwstr/>
      </vt:variant>
      <vt:variant>
        <vt:lpwstr>_Toc387783577</vt:lpwstr>
      </vt:variant>
      <vt:variant>
        <vt:i4>1835065</vt:i4>
      </vt:variant>
      <vt:variant>
        <vt:i4>428</vt:i4>
      </vt:variant>
      <vt:variant>
        <vt:i4>0</vt:i4>
      </vt:variant>
      <vt:variant>
        <vt:i4>5</vt:i4>
      </vt:variant>
      <vt:variant>
        <vt:lpwstr/>
      </vt:variant>
      <vt:variant>
        <vt:lpwstr>_Toc387783576</vt:lpwstr>
      </vt:variant>
      <vt:variant>
        <vt:i4>1835065</vt:i4>
      </vt:variant>
      <vt:variant>
        <vt:i4>422</vt:i4>
      </vt:variant>
      <vt:variant>
        <vt:i4>0</vt:i4>
      </vt:variant>
      <vt:variant>
        <vt:i4>5</vt:i4>
      </vt:variant>
      <vt:variant>
        <vt:lpwstr/>
      </vt:variant>
      <vt:variant>
        <vt:lpwstr>_Toc387783575</vt:lpwstr>
      </vt:variant>
      <vt:variant>
        <vt:i4>1835065</vt:i4>
      </vt:variant>
      <vt:variant>
        <vt:i4>416</vt:i4>
      </vt:variant>
      <vt:variant>
        <vt:i4>0</vt:i4>
      </vt:variant>
      <vt:variant>
        <vt:i4>5</vt:i4>
      </vt:variant>
      <vt:variant>
        <vt:lpwstr/>
      </vt:variant>
      <vt:variant>
        <vt:lpwstr>_Toc387783574</vt:lpwstr>
      </vt:variant>
      <vt:variant>
        <vt:i4>1835065</vt:i4>
      </vt:variant>
      <vt:variant>
        <vt:i4>410</vt:i4>
      </vt:variant>
      <vt:variant>
        <vt:i4>0</vt:i4>
      </vt:variant>
      <vt:variant>
        <vt:i4>5</vt:i4>
      </vt:variant>
      <vt:variant>
        <vt:lpwstr/>
      </vt:variant>
      <vt:variant>
        <vt:lpwstr>_Toc387783573</vt:lpwstr>
      </vt:variant>
      <vt:variant>
        <vt:i4>1835065</vt:i4>
      </vt:variant>
      <vt:variant>
        <vt:i4>404</vt:i4>
      </vt:variant>
      <vt:variant>
        <vt:i4>0</vt:i4>
      </vt:variant>
      <vt:variant>
        <vt:i4>5</vt:i4>
      </vt:variant>
      <vt:variant>
        <vt:lpwstr/>
      </vt:variant>
      <vt:variant>
        <vt:lpwstr>_Toc387783572</vt:lpwstr>
      </vt:variant>
      <vt:variant>
        <vt:i4>1835065</vt:i4>
      </vt:variant>
      <vt:variant>
        <vt:i4>398</vt:i4>
      </vt:variant>
      <vt:variant>
        <vt:i4>0</vt:i4>
      </vt:variant>
      <vt:variant>
        <vt:i4>5</vt:i4>
      </vt:variant>
      <vt:variant>
        <vt:lpwstr/>
      </vt:variant>
      <vt:variant>
        <vt:lpwstr>_Toc387783571</vt:lpwstr>
      </vt:variant>
      <vt:variant>
        <vt:i4>1835065</vt:i4>
      </vt:variant>
      <vt:variant>
        <vt:i4>392</vt:i4>
      </vt:variant>
      <vt:variant>
        <vt:i4>0</vt:i4>
      </vt:variant>
      <vt:variant>
        <vt:i4>5</vt:i4>
      </vt:variant>
      <vt:variant>
        <vt:lpwstr/>
      </vt:variant>
      <vt:variant>
        <vt:lpwstr>_Toc387783570</vt:lpwstr>
      </vt:variant>
      <vt:variant>
        <vt:i4>1900601</vt:i4>
      </vt:variant>
      <vt:variant>
        <vt:i4>386</vt:i4>
      </vt:variant>
      <vt:variant>
        <vt:i4>0</vt:i4>
      </vt:variant>
      <vt:variant>
        <vt:i4>5</vt:i4>
      </vt:variant>
      <vt:variant>
        <vt:lpwstr/>
      </vt:variant>
      <vt:variant>
        <vt:lpwstr>_Toc387783569</vt:lpwstr>
      </vt:variant>
      <vt:variant>
        <vt:i4>1900601</vt:i4>
      </vt:variant>
      <vt:variant>
        <vt:i4>380</vt:i4>
      </vt:variant>
      <vt:variant>
        <vt:i4>0</vt:i4>
      </vt:variant>
      <vt:variant>
        <vt:i4>5</vt:i4>
      </vt:variant>
      <vt:variant>
        <vt:lpwstr/>
      </vt:variant>
      <vt:variant>
        <vt:lpwstr>_Toc387783568</vt:lpwstr>
      </vt:variant>
      <vt:variant>
        <vt:i4>1900601</vt:i4>
      </vt:variant>
      <vt:variant>
        <vt:i4>374</vt:i4>
      </vt:variant>
      <vt:variant>
        <vt:i4>0</vt:i4>
      </vt:variant>
      <vt:variant>
        <vt:i4>5</vt:i4>
      </vt:variant>
      <vt:variant>
        <vt:lpwstr/>
      </vt:variant>
      <vt:variant>
        <vt:lpwstr>_Toc387783567</vt:lpwstr>
      </vt:variant>
      <vt:variant>
        <vt:i4>1900601</vt:i4>
      </vt:variant>
      <vt:variant>
        <vt:i4>368</vt:i4>
      </vt:variant>
      <vt:variant>
        <vt:i4>0</vt:i4>
      </vt:variant>
      <vt:variant>
        <vt:i4>5</vt:i4>
      </vt:variant>
      <vt:variant>
        <vt:lpwstr/>
      </vt:variant>
      <vt:variant>
        <vt:lpwstr>_Toc387783566</vt:lpwstr>
      </vt:variant>
      <vt:variant>
        <vt:i4>1900601</vt:i4>
      </vt:variant>
      <vt:variant>
        <vt:i4>362</vt:i4>
      </vt:variant>
      <vt:variant>
        <vt:i4>0</vt:i4>
      </vt:variant>
      <vt:variant>
        <vt:i4>5</vt:i4>
      </vt:variant>
      <vt:variant>
        <vt:lpwstr/>
      </vt:variant>
      <vt:variant>
        <vt:lpwstr>_Toc387783565</vt:lpwstr>
      </vt:variant>
      <vt:variant>
        <vt:i4>1900601</vt:i4>
      </vt:variant>
      <vt:variant>
        <vt:i4>356</vt:i4>
      </vt:variant>
      <vt:variant>
        <vt:i4>0</vt:i4>
      </vt:variant>
      <vt:variant>
        <vt:i4>5</vt:i4>
      </vt:variant>
      <vt:variant>
        <vt:lpwstr/>
      </vt:variant>
      <vt:variant>
        <vt:lpwstr>_Toc387783564</vt:lpwstr>
      </vt:variant>
      <vt:variant>
        <vt:i4>1900601</vt:i4>
      </vt:variant>
      <vt:variant>
        <vt:i4>350</vt:i4>
      </vt:variant>
      <vt:variant>
        <vt:i4>0</vt:i4>
      </vt:variant>
      <vt:variant>
        <vt:i4>5</vt:i4>
      </vt:variant>
      <vt:variant>
        <vt:lpwstr/>
      </vt:variant>
      <vt:variant>
        <vt:lpwstr>_Toc387783563</vt:lpwstr>
      </vt:variant>
      <vt:variant>
        <vt:i4>1900601</vt:i4>
      </vt:variant>
      <vt:variant>
        <vt:i4>344</vt:i4>
      </vt:variant>
      <vt:variant>
        <vt:i4>0</vt:i4>
      </vt:variant>
      <vt:variant>
        <vt:i4>5</vt:i4>
      </vt:variant>
      <vt:variant>
        <vt:lpwstr/>
      </vt:variant>
      <vt:variant>
        <vt:lpwstr>_Toc387783562</vt:lpwstr>
      </vt:variant>
      <vt:variant>
        <vt:i4>1900601</vt:i4>
      </vt:variant>
      <vt:variant>
        <vt:i4>338</vt:i4>
      </vt:variant>
      <vt:variant>
        <vt:i4>0</vt:i4>
      </vt:variant>
      <vt:variant>
        <vt:i4>5</vt:i4>
      </vt:variant>
      <vt:variant>
        <vt:lpwstr/>
      </vt:variant>
      <vt:variant>
        <vt:lpwstr>_Toc387783561</vt:lpwstr>
      </vt:variant>
      <vt:variant>
        <vt:i4>1900601</vt:i4>
      </vt:variant>
      <vt:variant>
        <vt:i4>332</vt:i4>
      </vt:variant>
      <vt:variant>
        <vt:i4>0</vt:i4>
      </vt:variant>
      <vt:variant>
        <vt:i4>5</vt:i4>
      </vt:variant>
      <vt:variant>
        <vt:lpwstr/>
      </vt:variant>
      <vt:variant>
        <vt:lpwstr>_Toc387783560</vt:lpwstr>
      </vt:variant>
      <vt:variant>
        <vt:i4>1966137</vt:i4>
      </vt:variant>
      <vt:variant>
        <vt:i4>326</vt:i4>
      </vt:variant>
      <vt:variant>
        <vt:i4>0</vt:i4>
      </vt:variant>
      <vt:variant>
        <vt:i4>5</vt:i4>
      </vt:variant>
      <vt:variant>
        <vt:lpwstr/>
      </vt:variant>
      <vt:variant>
        <vt:lpwstr>_Toc387783559</vt:lpwstr>
      </vt:variant>
      <vt:variant>
        <vt:i4>1966137</vt:i4>
      </vt:variant>
      <vt:variant>
        <vt:i4>320</vt:i4>
      </vt:variant>
      <vt:variant>
        <vt:i4>0</vt:i4>
      </vt:variant>
      <vt:variant>
        <vt:i4>5</vt:i4>
      </vt:variant>
      <vt:variant>
        <vt:lpwstr/>
      </vt:variant>
      <vt:variant>
        <vt:lpwstr>_Toc387783558</vt:lpwstr>
      </vt:variant>
      <vt:variant>
        <vt:i4>1966137</vt:i4>
      </vt:variant>
      <vt:variant>
        <vt:i4>314</vt:i4>
      </vt:variant>
      <vt:variant>
        <vt:i4>0</vt:i4>
      </vt:variant>
      <vt:variant>
        <vt:i4>5</vt:i4>
      </vt:variant>
      <vt:variant>
        <vt:lpwstr/>
      </vt:variant>
      <vt:variant>
        <vt:lpwstr>_Toc387783557</vt:lpwstr>
      </vt:variant>
      <vt:variant>
        <vt:i4>1966137</vt:i4>
      </vt:variant>
      <vt:variant>
        <vt:i4>308</vt:i4>
      </vt:variant>
      <vt:variant>
        <vt:i4>0</vt:i4>
      </vt:variant>
      <vt:variant>
        <vt:i4>5</vt:i4>
      </vt:variant>
      <vt:variant>
        <vt:lpwstr/>
      </vt:variant>
      <vt:variant>
        <vt:lpwstr>_Toc387783556</vt:lpwstr>
      </vt:variant>
      <vt:variant>
        <vt:i4>1966137</vt:i4>
      </vt:variant>
      <vt:variant>
        <vt:i4>302</vt:i4>
      </vt:variant>
      <vt:variant>
        <vt:i4>0</vt:i4>
      </vt:variant>
      <vt:variant>
        <vt:i4>5</vt:i4>
      </vt:variant>
      <vt:variant>
        <vt:lpwstr/>
      </vt:variant>
      <vt:variant>
        <vt:lpwstr>_Toc387783555</vt:lpwstr>
      </vt:variant>
      <vt:variant>
        <vt:i4>1966137</vt:i4>
      </vt:variant>
      <vt:variant>
        <vt:i4>296</vt:i4>
      </vt:variant>
      <vt:variant>
        <vt:i4>0</vt:i4>
      </vt:variant>
      <vt:variant>
        <vt:i4>5</vt:i4>
      </vt:variant>
      <vt:variant>
        <vt:lpwstr/>
      </vt:variant>
      <vt:variant>
        <vt:lpwstr>_Toc387783554</vt:lpwstr>
      </vt:variant>
      <vt:variant>
        <vt:i4>1966137</vt:i4>
      </vt:variant>
      <vt:variant>
        <vt:i4>290</vt:i4>
      </vt:variant>
      <vt:variant>
        <vt:i4>0</vt:i4>
      </vt:variant>
      <vt:variant>
        <vt:i4>5</vt:i4>
      </vt:variant>
      <vt:variant>
        <vt:lpwstr/>
      </vt:variant>
      <vt:variant>
        <vt:lpwstr>_Toc387783553</vt:lpwstr>
      </vt:variant>
      <vt:variant>
        <vt:i4>1966137</vt:i4>
      </vt:variant>
      <vt:variant>
        <vt:i4>284</vt:i4>
      </vt:variant>
      <vt:variant>
        <vt:i4>0</vt:i4>
      </vt:variant>
      <vt:variant>
        <vt:i4>5</vt:i4>
      </vt:variant>
      <vt:variant>
        <vt:lpwstr/>
      </vt:variant>
      <vt:variant>
        <vt:lpwstr>_Toc387783552</vt:lpwstr>
      </vt:variant>
      <vt:variant>
        <vt:i4>1966137</vt:i4>
      </vt:variant>
      <vt:variant>
        <vt:i4>278</vt:i4>
      </vt:variant>
      <vt:variant>
        <vt:i4>0</vt:i4>
      </vt:variant>
      <vt:variant>
        <vt:i4>5</vt:i4>
      </vt:variant>
      <vt:variant>
        <vt:lpwstr/>
      </vt:variant>
      <vt:variant>
        <vt:lpwstr>_Toc387783551</vt:lpwstr>
      </vt:variant>
      <vt:variant>
        <vt:i4>1966137</vt:i4>
      </vt:variant>
      <vt:variant>
        <vt:i4>272</vt:i4>
      </vt:variant>
      <vt:variant>
        <vt:i4>0</vt:i4>
      </vt:variant>
      <vt:variant>
        <vt:i4>5</vt:i4>
      </vt:variant>
      <vt:variant>
        <vt:lpwstr/>
      </vt:variant>
      <vt:variant>
        <vt:lpwstr>_Toc387783550</vt:lpwstr>
      </vt:variant>
      <vt:variant>
        <vt:i4>2031673</vt:i4>
      </vt:variant>
      <vt:variant>
        <vt:i4>266</vt:i4>
      </vt:variant>
      <vt:variant>
        <vt:i4>0</vt:i4>
      </vt:variant>
      <vt:variant>
        <vt:i4>5</vt:i4>
      </vt:variant>
      <vt:variant>
        <vt:lpwstr/>
      </vt:variant>
      <vt:variant>
        <vt:lpwstr>_Toc387783549</vt:lpwstr>
      </vt:variant>
      <vt:variant>
        <vt:i4>2031673</vt:i4>
      </vt:variant>
      <vt:variant>
        <vt:i4>260</vt:i4>
      </vt:variant>
      <vt:variant>
        <vt:i4>0</vt:i4>
      </vt:variant>
      <vt:variant>
        <vt:i4>5</vt:i4>
      </vt:variant>
      <vt:variant>
        <vt:lpwstr/>
      </vt:variant>
      <vt:variant>
        <vt:lpwstr>_Toc387783548</vt:lpwstr>
      </vt:variant>
      <vt:variant>
        <vt:i4>2031673</vt:i4>
      </vt:variant>
      <vt:variant>
        <vt:i4>254</vt:i4>
      </vt:variant>
      <vt:variant>
        <vt:i4>0</vt:i4>
      </vt:variant>
      <vt:variant>
        <vt:i4>5</vt:i4>
      </vt:variant>
      <vt:variant>
        <vt:lpwstr/>
      </vt:variant>
      <vt:variant>
        <vt:lpwstr>_Toc387783547</vt:lpwstr>
      </vt:variant>
      <vt:variant>
        <vt:i4>2031673</vt:i4>
      </vt:variant>
      <vt:variant>
        <vt:i4>248</vt:i4>
      </vt:variant>
      <vt:variant>
        <vt:i4>0</vt:i4>
      </vt:variant>
      <vt:variant>
        <vt:i4>5</vt:i4>
      </vt:variant>
      <vt:variant>
        <vt:lpwstr/>
      </vt:variant>
      <vt:variant>
        <vt:lpwstr>_Toc387783546</vt:lpwstr>
      </vt:variant>
      <vt:variant>
        <vt:i4>2031673</vt:i4>
      </vt:variant>
      <vt:variant>
        <vt:i4>242</vt:i4>
      </vt:variant>
      <vt:variant>
        <vt:i4>0</vt:i4>
      </vt:variant>
      <vt:variant>
        <vt:i4>5</vt:i4>
      </vt:variant>
      <vt:variant>
        <vt:lpwstr/>
      </vt:variant>
      <vt:variant>
        <vt:lpwstr>_Toc387783545</vt:lpwstr>
      </vt:variant>
      <vt:variant>
        <vt:i4>2031673</vt:i4>
      </vt:variant>
      <vt:variant>
        <vt:i4>236</vt:i4>
      </vt:variant>
      <vt:variant>
        <vt:i4>0</vt:i4>
      </vt:variant>
      <vt:variant>
        <vt:i4>5</vt:i4>
      </vt:variant>
      <vt:variant>
        <vt:lpwstr/>
      </vt:variant>
      <vt:variant>
        <vt:lpwstr>_Toc387783544</vt:lpwstr>
      </vt:variant>
      <vt:variant>
        <vt:i4>2031673</vt:i4>
      </vt:variant>
      <vt:variant>
        <vt:i4>230</vt:i4>
      </vt:variant>
      <vt:variant>
        <vt:i4>0</vt:i4>
      </vt:variant>
      <vt:variant>
        <vt:i4>5</vt:i4>
      </vt:variant>
      <vt:variant>
        <vt:lpwstr/>
      </vt:variant>
      <vt:variant>
        <vt:lpwstr>_Toc387783543</vt:lpwstr>
      </vt:variant>
      <vt:variant>
        <vt:i4>2031673</vt:i4>
      </vt:variant>
      <vt:variant>
        <vt:i4>224</vt:i4>
      </vt:variant>
      <vt:variant>
        <vt:i4>0</vt:i4>
      </vt:variant>
      <vt:variant>
        <vt:i4>5</vt:i4>
      </vt:variant>
      <vt:variant>
        <vt:lpwstr/>
      </vt:variant>
      <vt:variant>
        <vt:lpwstr>_Toc387783542</vt:lpwstr>
      </vt:variant>
      <vt:variant>
        <vt:i4>2031673</vt:i4>
      </vt:variant>
      <vt:variant>
        <vt:i4>218</vt:i4>
      </vt:variant>
      <vt:variant>
        <vt:i4>0</vt:i4>
      </vt:variant>
      <vt:variant>
        <vt:i4>5</vt:i4>
      </vt:variant>
      <vt:variant>
        <vt:lpwstr/>
      </vt:variant>
      <vt:variant>
        <vt:lpwstr>_Toc387783541</vt:lpwstr>
      </vt:variant>
      <vt:variant>
        <vt:i4>2031673</vt:i4>
      </vt:variant>
      <vt:variant>
        <vt:i4>212</vt:i4>
      </vt:variant>
      <vt:variant>
        <vt:i4>0</vt:i4>
      </vt:variant>
      <vt:variant>
        <vt:i4>5</vt:i4>
      </vt:variant>
      <vt:variant>
        <vt:lpwstr/>
      </vt:variant>
      <vt:variant>
        <vt:lpwstr>_Toc387783540</vt:lpwstr>
      </vt:variant>
      <vt:variant>
        <vt:i4>1572921</vt:i4>
      </vt:variant>
      <vt:variant>
        <vt:i4>206</vt:i4>
      </vt:variant>
      <vt:variant>
        <vt:i4>0</vt:i4>
      </vt:variant>
      <vt:variant>
        <vt:i4>5</vt:i4>
      </vt:variant>
      <vt:variant>
        <vt:lpwstr/>
      </vt:variant>
      <vt:variant>
        <vt:lpwstr>_Toc387783539</vt:lpwstr>
      </vt:variant>
      <vt:variant>
        <vt:i4>1572921</vt:i4>
      </vt:variant>
      <vt:variant>
        <vt:i4>200</vt:i4>
      </vt:variant>
      <vt:variant>
        <vt:i4>0</vt:i4>
      </vt:variant>
      <vt:variant>
        <vt:i4>5</vt:i4>
      </vt:variant>
      <vt:variant>
        <vt:lpwstr/>
      </vt:variant>
      <vt:variant>
        <vt:lpwstr>_Toc387783538</vt:lpwstr>
      </vt:variant>
      <vt:variant>
        <vt:i4>1572921</vt:i4>
      </vt:variant>
      <vt:variant>
        <vt:i4>194</vt:i4>
      </vt:variant>
      <vt:variant>
        <vt:i4>0</vt:i4>
      </vt:variant>
      <vt:variant>
        <vt:i4>5</vt:i4>
      </vt:variant>
      <vt:variant>
        <vt:lpwstr/>
      </vt:variant>
      <vt:variant>
        <vt:lpwstr>_Toc387783537</vt:lpwstr>
      </vt:variant>
      <vt:variant>
        <vt:i4>1572921</vt:i4>
      </vt:variant>
      <vt:variant>
        <vt:i4>188</vt:i4>
      </vt:variant>
      <vt:variant>
        <vt:i4>0</vt:i4>
      </vt:variant>
      <vt:variant>
        <vt:i4>5</vt:i4>
      </vt:variant>
      <vt:variant>
        <vt:lpwstr/>
      </vt:variant>
      <vt:variant>
        <vt:lpwstr>_Toc387783536</vt:lpwstr>
      </vt:variant>
      <vt:variant>
        <vt:i4>1572921</vt:i4>
      </vt:variant>
      <vt:variant>
        <vt:i4>182</vt:i4>
      </vt:variant>
      <vt:variant>
        <vt:i4>0</vt:i4>
      </vt:variant>
      <vt:variant>
        <vt:i4>5</vt:i4>
      </vt:variant>
      <vt:variant>
        <vt:lpwstr/>
      </vt:variant>
      <vt:variant>
        <vt:lpwstr>_Toc387783535</vt:lpwstr>
      </vt:variant>
      <vt:variant>
        <vt:i4>1572921</vt:i4>
      </vt:variant>
      <vt:variant>
        <vt:i4>176</vt:i4>
      </vt:variant>
      <vt:variant>
        <vt:i4>0</vt:i4>
      </vt:variant>
      <vt:variant>
        <vt:i4>5</vt:i4>
      </vt:variant>
      <vt:variant>
        <vt:lpwstr/>
      </vt:variant>
      <vt:variant>
        <vt:lpwstr>_Toc387783534</vt:lpwstr>
      </vt:variant>
      <vt:variant>
        <vt:i4>1572921</vt:i4>
      </vt:variant>
      <vt:variant>
        <vt:i4>170</vt:i4>
      </vt:variant>
      <vt:variant>
        <vt:i4>0</vt:i4>
      </vt:variant>
      <vt:variant>
        <vt:i4>5</vt:i4>
      </vt:variant>
      <vt:variant>
        <vt:lpwstr/>
      </vt:variant>
      <vt:variant>
        <vt:lpwstr>_Toc387783533</vt:lpwstr>
      </vt:variant>
      <vt:variant>
        <vt:i4>1572921</vt:i4>
      </vt:variant>
      <vt:variant>
        <vt:i4>164</vt:i4>
      </vt:variant>
      <vt:variant>
        <vt:i4>0</vt:i4>
      </vt:variant>
      <vt:variant>
        <vt:i4>5</vt:i4>
      </vt:variant>
      <vt:variant>
        <vt:lpwstr/>
      </vt:variant>
      <vt:variant>
        <vt:lpwstr>_Toc387783532</vt:lpwstr>
      </vt:variant>
      <vt:variant>
        <vt:i4>1572921</vt:i4>
      </vt:variant>
      <vt:variant>
        <vt:i4>158</vt:i4>
      </vt:variant>
      <vt:variant>
        <vt:i4>0</vt:i4>
      </vt:variant>
      <vt:variant>
        <vt:i4>5</vt:i4>
      </vt:variant>
      <vt:variant>
        <vt:lpwstr/>
      </vt:variant>
      <vt:variant>
        <vt:lpwstr>_Toc387783531</vt:lpwstr>
      </vt:variant>
      <vt:variant>
        <vt:i4>1572921</vt:i4>
      </vt:variant>
      <vt:variant>
        <vt:i4>152</vt:i4>
      </vt:variant>
      <vt:variant>
        <vt:i4>0</vt:i4>
      </vt:variant>
      <vt:variant>
        <vt:i4>5</vt:i4>
      </vt:variant>
      <vt:variant>
        <vt:lpwstr/>
      </vt:variant>
      <vt:variant>
        <vt:lpwstr>_Toc387783530</vt:lpwstr>
      </vt:variant>
      <vt:variant>
        <vt:i4>1638457</vt:i4>
      </vt:variant>
      <vt:variant>
        <vt:i4>146</vt:i4>
      </vt:variant>
      <vt:variant>
        <vt:i4>0</vt:i4>
      </vt:variant>
      <vt:variant>
        <vt:i4>5</vt:i4>
      </vt:variant>
      <vt:variant>
        <vt:lpwstr/>
      </vt:variant>
      <vt:variant>
        <vt:lpwstr>_Toc387783529</vt:lpwstr>
      </vt:variant>
      <vt:variant>
        <vt:i4>1638457</vt:i4>
      </vt:variant>
      <vt:variant>
        <vt:i4>140</vt:i4>
      </vt:variant>
      <vt:variant>
        <vt:i4>0</vt:i4>
      </vt:variant>
      <vt:variant>
        <vt:i4>5</vt:i4>
      </vt:variant>
      <vt:variant>
        <vt:lpwstr/>
      </vt:variant>
      <vt:variant>
        <vt:lpwstr>_Toc387783528</vt:lpwstr>
      </vt:variant>
      <vt:variant>
        <vt:i4>1638457</vt:i4>
      </vt:variant>
      <vt:variant>
        <vt:i4>134</vt:i4>
      </vt:variant>
      <vt:variant>
        <vt:i4>0</vt:i4>
      </vt:variant>
      <vt:variant>
        <vt:i4>5</vt:i4>
      </vt:variant>
      <vt:variant>
        <vt:lpwstr/>
      </vt:variant>
      <vt:variant>
        <vt:lpwstr>_Toc387783527</vt:lpwstr>
      </vt:variant>
      <vt:variant>
        <vt:i4>1638457</vt:i4>
      </vt:variant>
      <vt:variant>
        <vt:i4>128</vt:i4>
      </vt:variant>
      <vt:variant>
        <vt:i4>0</vt:i4>
      </vt:variant>
      <vt:variant>
        <vt:i4>5</vt:i4>
      </vt:variant>
      <vt:variant>
        <vt:lpwstr/>
      </vt:variant>
      <vt:variant>
        <vt:lpwstr>_Toc387783526</vt:lpwstr>
      </vt:variant>
      <vt:variant>
        <vt:i4>1638457</vt:i4>
      </vt:variant>
      <vt:variant>
        <vt:i4>122</vt:i4>
      </vt:variant>
      <vt:variant>
        <vt:i4>0</vt:i4>
      </vt:variant>
      <vt:variant>
        <vt:i4>5</vt:i4>
      </vt:variant>
      <vt:variant>
        <vt:lpwstr/>
      </vt:variant>
      <vt:variant>
        <vt:lpwstr>_Toc387783525</vt:lpwstr>
      </vt:variant>
      <vt:variant>
        <vt:i4>1638457</vt:i4>
      </vt:variant>
      <vt:variant>
        <vt:i4>116</vt:i4>
      </vt:variant>
      <vt:variant>
        <vt:i4>0</vt:i4>
      </vt:variant>
      <vt:variant>
        <vt:i4>5</vt:i4>
      </vt:variant>
      <vt:variant>
        <vt:lpwstr/>
      </vt:variant>
      <vt:variant>
        <vt:lpwstr>_Toc387783524</vt:lpwstr>
      </vt:variant>
      <vt:variant>
        <vt:i4>1638457</vt:i4>
      </vt:variant>
      <vt:variant>
        <vt:i4>110</vt:i4>
      </vt:variant>
      <vt:variant>
        <vt:i4>0</vt:i4>
      </vt:variant>
      <vt:variant>
        <vt:i4>5</vt:i4>
      </vt:variant>
      <vt:variant>
        <vt:lpwstr/>
      </vt:variant>
      <vt:variant>
        <vt:lpwstr>_Toc387783523</vt:lpwstr>
      </vt:variant>
      <vt:variant>
        <vt:i4>1638457</vt:i4>
      </vt:variant>
      <vt:variant>
        <vt:i4>104</vt:i4>
      </vt:variant>
      <vt:variant>
        <vt:i4>0</vt:i4>
      </vt:variant>
      <vt:variant>
        <vt:i4>5</vt:i4>
      </vt:variant>
      <vt:variant>
        <vt:lpwstr/>
      </vt:variant>
      <vt:variant>
        <vt:lpwstr>_Toc387783522</vt:lpwstr>
      </vt:variant>
      <vt:variant>
        <vt:i4>1638457</vt:i4>
      </vt:variant>
      <vt:variant>
        <vt:i4>98</vt:i4>
      </vt:variant>
      <vt:variant>
        <vt:i4>0</vt:i4>
      </vt:variant>
      <vt:variant>
        <vt:i4>5</vt:i4>
      </vt:variant>
      <vt:variant>
        <vt:lpwstr/>
      </vt:variant>
      <vt:variant>
        <vt:lpwstr>_Toc387783521</vt:lpwstr>
      </vt:variant>
      <vt:variant>
        <vt:i4>1638457</vt:i4>
      </vt:variant>
      <vt:variant>
        <vt:i4>92</vt:i4>
      </vt:variant>
      <vt:variant>
        <vt:i4>0</vt:i4>
      </vt:variant>
      <vt:variant>
        <vt:i4>5</vt:i4>
      </vt:variant>
      <vt:variant>
        <vt:lpwstr/>
      </vt:variant>
      <vt:variant>
        <vt:lpwstr>_Toc387783520</vt:lpwstr>
      </vt:variant>
      <vt:variant>
        <vt:i4>1703993</vt:i4>
      </vt:variant>
      <vt:variant>
        <vt:i4>86</vt:i4>
      </vt:variant>
      <vt:variant>
        <vt:i4>0</vt:i4>
      </vt:variant>
      <vt:variant>
        <vt:i4>5</vt:i4>
      </vt:variant>
      <vt:variant>
        <vt:lpwstr/>
      </vt:variant>
      <vt:variant>
        <vt:lpwstr>_Toc387783519</vt:lpwstr>
      </vt:variant>
      <vt:variant>
        <vt:i4>1703993</vt:i4>
      </vt:variant>
      <vt:variant>
        <vt:i4>80</vt:i4>
      </vt:variant>
      <vt:variant>
        <vt:i4>0</vt:i4>
      </vt:variant>
      <vt:variant>
        <vt:i4>5</vt:i4>
      </vt:variant>
      <vt:variant>
        <vt:lpwstr/>
      </vt:variant>
      <vt:variant>
        <vt:lpwstr>_Toc387783518</vt:lpwstr>
      </vt:variant>
      <vt:variant>
        <vt:i4>1703993</vt:i4>
      </vt:variant>
      <vt:variant>
        <vt:i4>74</vt:i4>
      </vt:variant>
      <vt:variant>
        <vt:i4>0</vt:i4>
      </vt:variant>
      <vt:variant>
        <vt:i4>5</vt:i4>
      </vt:variant>
      <vt:variant>
        <vt:lpwstr/>
      </vt:variant>
      <vt:variant>
        <vt:lpwstr>_Toc387783517</vt:lpwstr>
      </vt:variant>
      <vt:variant>
        <vt:i4>1703993</vt:i4>
      </vt:variant>
      <vt:variant>
        <vt:i4>68</vt:i4>
      </vt:variant>
      <vt:variant>
        <vt:i4>0</vt:i4>
      </vt:variant>
      <vt:variant>
        <vt:i4>5</vt:i4>
      </vt:variant>
      <vt:variant>
        <vt:lpwstr/>
      </vt:variant>
      <vt:variant>
        <vt:lpwstr>_Toc387783516</vt:lpwstr>
      </vt:variant>
      <vt:variant>
        <vt:i4>1703993</vt:i4>
      </vt:variant>
      <vt:variant>
        <vt:i4>62</vt:i4>
      </vt:variant>
      <vt:variant>
        <vt:i4>0</vt:i4>
      </vt:variant>
      <vt:variant>
        <vt:i4>5</vt:i4>
      </vt:variant>
      <vt:variant>
        <vt:lpwstr/>
      </vt:variant>
      <vt:variant>
        <vt:lpwstr>_Toc387783515</vt:lpwstr>
      </vt:variant>
      <vt:variant>
        <vt:i4>1703993</vt:i4>
      </vt:variant>
      <vt:variant>
        <vt:i4>56</vt:i4>
      </vt:variant>
      <vt:variant>
        <vt:i4>0</vt:i4>
      </vt:variant>
      <vt:variant>
        <vt:i4>5</vt:i4>
      </vt:variant>
      <vt:variant>
        <vt:lpwstr/>
      </vt:variant>
      <vt:variant>
        <vt:lpwstr>_Toc387783514</vt:lpwstr>
      </vt:variant>
      <vt:variant>
        <vt:i4>1703993</vt:i4>
      </vt:variant>
      <vt:variant>
        <vt:i4>50</vt:i4>
      </vt:variant>
      <vt:variant>
        <vt:i4>0</vt:i4>
      </vt:variant>
      <vt:variant>
        <vt:i4>5</vt:i4>
      </vt:variant>
      <vt:variant>
        <vt:lpwstr/>
      </vt:variant>
      <vt:variant>
        <vt:lpwstr>_Toc387783513</vt:lpwstr>
      </vt:variant>
      <vt:variant>
        <vt:i4>1703993</vt:i4>
      </vt:variant>
      <vt:variant>
        <vt:i4>44</vt:i4>
      </vt:variant>
      <vt:variant>
        <vt:i4>0</vt:i4>
      </vt:variant>
      <vt:variant>
        <vt:i4>5</vt:i4>
      </vt:variant>
      <vt:variant>
        <vt:lpwstr/>
      </vt:variant>
      <vt:variant>
        <vt:lpwstr>_Toc387783512</vt:lpwstr>
      </vt:variant>
      <vt:variant>
        <vt:i4>1703993</vt:i4>
      </vt:variant>
      <vt:variant>
        <vt:i4>38</vt:i4>
      </vt:variant>
      <vt:variant>
        <vt:i4>0</vt:i4>
      </vt:variant>
      <vt:variant>
        <vt:i4>5</vt:i4>
      </vt:variant>
      <vt:variant>
        <vt:lpwstr/>
      </vt:variant>
      <vt:variant>
        <vt:lpwstr>_Toc387783511</vt:lpwstr>
      </vt:variant>
      <vt:variant>
        <vt:i4>1703993</vt:i4>
      </vt:variant>
      <vt:variant>
        <vt:i4>32</vt:i4>
      </vt:variant>
      <vt:variant>
        <vt:i4>0</vt:i4>
      </vt:variant>
      <vt:variant>
        <vt:i4>5</vt:i4>
      </vt:variant>
      <vt:variant>
        <vt:lpwstr/>
      </vt:variant>
      <vt:variant>
        <vt:lpwstr>_Toc387783510</vt:lpwstr>
      </vt:variant>
      <vt:variant>
        <vt:i4>1769529</vt:i4>
      </vt:variant>
      <vt:variant>
        <vt:i4>26</vt:i4>
      </vt:variant>
      <vt:variant>
        <vt:i4>0</vt:i4>
      </vt:variant>
      <vt:variant>
        <vt:i4>5</vt:i4>
      </vt:variant>
      <vt:variant>
        <vt:lpwstr/>
      </vt:variant>
      <vt:variant>
        <vt:lpwstr>_Toc387783509</vt:lpwstr>
      </vt:variant>
      <vt:variant>
        <vt:i4>1769529</vt:i4>
      </vt:variant>
      <vt:variant>
        <vt:i4>20</vt:i4>
      </vt:variant>
      <vt:variant>
        <vt:i4>0</vt:i4>
      </vt:variant>
      <vt:variant>
        <vt:i4>5</vt:i4>
      </vt:variant>
      <vt:variant>
        <vt:lpwstr/>
      </vt:variant>
      <vt:variant>
        <vt:lpwstr>_Toc387783508</vt:lpwstr>
      </vt:variant>
      <vt:variant>
        <vt:i4>1769529</vt:i4>
      </vt:variant>
      <vt:variant>
        <vt:i4>14</vt:i4>
      </vt:variant>
      <vt:variant>
        <vt:i4>0</vt:i4>
      </vt:variant>
      <vt:variant>
        <vt:i4>5</vt:i4>
      </vt:variant>
      <vt:variant>
        <vt:lpwstr/>
      </vt:variant>
      <vt:variant>
        <vt:lpwstr>_Toc387783507</vt:lpwstr>
      </vt:variant>
      <vt:variant>
        <vt:i4>1769529</vt:i4>
      </vt:variant>
      <vt:variant>
        <vt:i4>8</vt:i4>
      </vt:variant>
      <vt:variant>
        <vt:i4>0</vt:i4>
      </vt:variant>
      <vt:variant>
        <vt:i4>5</vt:i4>
      </vt:variant>
      <vt:variant>
        <vt:lpwstr/>
      </vt:variant>
      <vt:variant>
        <vt:lpwstr>_Toc387783506</vt:lpwstr>
      </vt:variant>
      <vt:variant>
        <vt:i4>6881319</vt:i4>
      </vt:variant>
      <vt:variant>
        <vt:i4>87</vt:i4>
      </vt:variant>
      <vt:variant>
        <vt:i4>0</vt:i4>
      </vt:variant>
      <vt:variant>
        <vt:i4>5</vt:i4>
      </vt:variant>
      <vt:variant>
        <vt:lpwstr>http://goo.gl/ziYki</vt:lpwstr>
      </vt:variant>
      <vt:variant>
        <vt:lpwstr/>
      </vt:variant>
      <vt:variant>
        <vt:i4>7667825</vt:i4>
      </vt:variant>
      <vt:variant>
        <vt:i4>84</vt:i4>
      </vt:variant>
      <vt:variant>
        <vt:i4>0</vt:i4>
      </vt:variant>
      <vt:variant>
        <vt:i4>5</vt:i4>
      </vt:variant>
      <vt:variant>
        <vt:lpwstr>http://goo.gl/3vfHG</vt:lpwstr>
      </vt:variant>
      <vt:variant>
        <vt:lpwstr/>
      </vt:variant>
      <vt:variant>
        <vt:i4>2687014</vt:i4>
      </vt:variant>
      <vt:variant>
        <vt:i4>81</vt:i4>
      </vt:variant>
      <vt:variant>
        <vt:i4>0</vt:i4>
      </vt:variant>
      <vt:variant>
        <vt:i4>5</vt:i4>
      </vt:variant>
      <vt:variant>
        <vt:lpwstr>http://goo.gl/m8oZE</vt:lpwstr>
      </vt:variant>
      <vt:variant>
        <vt:lpwstr/>
      </vt:variant>
      <vt:variant>
        <vt:i4>3866726</vt:i4>
      </vt:variant>
      <vt:variant>
        <vt:i4>78</vt:i4>
      </vt:variant>
      <vt:variant>
        <vt:i4>0</vt:i4>
      </vt:variant>
      <vt:variant>
        <vt:i4>5</vt:i4>
      </vt:variant>
      <vt:variant>
        <vt:lpwstr>http://blog.sedlex.be/?tag=concurrence-deloyale</vt:lpwstr>
      </vt:variant>
      <vt:variant>
        <vt:lpwstr/>
      </vt:variant>
      <vt:variant>
        <vt:i4>2097251</vt:i4>
      </vt:variant>
      <vt:variant>
        <vt:i4>75</vt:i4>
      </vt:variant>
      <vt:variant>
        <vt:i4>0</vt:i4>
      </vt:variant>
      <vt:variant>
        <vt:i4>5</vt:i4>
      </vt:variant>
      <vt:variant>
        <vt:lpwstr>http://goo.gl/T83St</vt:lpwstr>
      </vt:variant>
      <vt:variant>
        <vt:lpwstr/>
      </vt:variant>
      <vt:variant>
        <vt:i4>2359365</vt:i4>
      </vt:variant>
      <vt:variant>
        <vt:i4>72</vt:i4>
      </vt:variant>
      <vt:variant>
        <vt:i4>0</vt:i4>
      </vt:variant>
      <vt:variant>
        <vt:i4>5</vt:i4>
      </vt:variant>
      <vt:variant>
        <vt:lpwstr>mailto:valery.vermeulen@vancutsem.be</vt:lpwstr>
      </vt:variant>
      <vt:variant>
        <vt:lpwstr/>
      </vt:variant>
      <vt:variant>
        <vt:i4>2359365</vt:i4>
      </vt:variant>
      <vt:variant>
        <vt:i4>69</vt:i4>
      </vt:variant>
      <vt:variant>
        <vt:i4>0</vt:i4>
      </vt:variant>
      <vt:variant>
        <vt:i4>5</vt:i4>
      </vt:variant>
      <vt:variant>
        <vt:lpwstr>mailto:valery.vermeulen@vancutsem.be</vt:lpwstr>
      </vt:variant>
      <vt:variant>
        <vt:lpwstr/>
      </vt:variant>
      <vt:variant>
        <vt:i4>655417</vt:i4>
      </vt:variant>
      <vt:variant>
        <vt:i4>66</vt:i4>
      </vt:variant>
      <vt:variant>
        <vt:i4>0</vt:i4>
      </vt:variant>
      <vt:variant>
        <vt:i4>5</vt:i4>
      </vt:variant>
      <vt:variant>
        <vt:lpwstr>mailto:pb@vancutsem.be</vt:lpwstr>
      </vt:variant>
      <vt:variant>
        <vt:lpwstr/>
      </vt:variant>
      <vt:variant>
        <vt:i4>655417</vt:i4>
      </vt:variant>
      <vt:variant>
        <vt:i4>63</vt:i4>
      </vt:variant>
      <vt:variant>
        <vt:i4>0</vt:i4>
      </vt:variant>
      <vt:variant>
        <vt:i4>5</vt:i4>
      </vt:variant>
      <vt:variant>
        <vt:lpwstr>mailto:pb@vancutsem.be</vt:lpwstr>
      </vt:variant>
      <vt:variant>
        <vt:lpwstr/>
      </vt:variant>
      <vt:variant>
        <vt:i4>7274551</vt:i4>
      </vt:variant>
      <vt:variant>
        <vt:i4>60</vt:i4>
      </vt:variant>
      <vt:variant>
        <vt:i4>0</vt:i4>
      </vt:variant>
      <vt:variant>
        <vt:i4>5</vt:i4>
      </vt:variant>
      <vt:variant>
        <vt:lpwstr>http://goo.gl/ILzH0</vt:lpwstr>
      </vt:variant>
      <vt:variant>
        <vt:lpwstr/>
      </vt:variant>
      <vt:variant>
        <vt:i4>6881338</vt:i4>
      </vt:variant>
      <vt:variant>
        <vt:i4>57</vt:i4>
      </vt:variant>
      <vt:variant>
        <vt:i4>0</vt:i4>
      </vt:variant>
      <vt:variant>
        <vt:i4>5</vt:i4>
      </vt:variant>
      <vt:variant>
        <vt:lpwstr>http://goo.gl/JATcI</vt:lpwstr>
      </vt:variant>
      <vt:variant>
        <vt:lpwstr/>
      </vt:variant>
      <vt:variant>
        <vt:i4>7471161</vt:i4>
      </vt:variant>
      <vt:variant>
        <vt:i4>54</vt:i4>
      </vt:variant>
      <vt:variant>
        <vt:i4>0</vt:i4>
      </vt:variant>
      <vt:variant>
        <vt:i4>5</vt:i4>
      </vt:variant>
      <vt:variant>
        <vt:lpwstr>http://goo.gl/koVVz</vt:lpwstr>
      </vt:variant>
      <vt:variant>
        <vt:lpwstr/>
      </vt:variant>
      <vt:variant>
        <vt:i4>6422578</vt:i4>
      </vt:variant>
      <vt:variant>
        <vt:i4>51</vt:i4>
      </vt:variant>
      <vt:variant>
        <vt:i4>0</vt:i4>
      </vt:variant>
      <vt:variant>
        <vt:i4>5</vt:i4>
      </vt:variant>
      <vt:variant>
        <vt:lpwstr>http://goo.gl/XENlq</vt:lpwstr>
      </vt:variant>
      <vt:variant>
        <vt:lpwstr/>
      </vt:variant>
      <vt:variant>
        <vt:i4>7602236</vt:i4>
      </vt:variant>
      <vt:variant>
        <vt:i4>48</vt:i4>
      </vt:variant>
      <vt:variant>
        <vt:i4>0</vt:i4>
      </vt:variant>
      <vt:variant>
        <vt:i4>5</vt:i4>
      </vt:variant>
      <vt:variant>
        <vt:lpwstr>http://goo.gl/qxIGu</vt:lpwstr>
      </vt:variant>
      <vt:variant>
        <vt:lpwstr/>
      </vt:variant>
      <vt:variant>
        <vt:i4>7602236</vt:i4>
      </vt:variant>
      <vt:variant>
        <vt:i4>45</vt:i4>
      </vt:variant>
      <vt:variant>
        <vt:i4>0</vt:i4>
      </vt:variant>
      <vt:variant>
        <vt:i4>5</vt:i4>
      </vt:variant>
      <vt:variant>
        <vt:lpwstr>http://goo.gl/qxIGu</vt:lpwstr>
      </vt:variant>
      <vt:variant>
        <vt:lpwstr/>
      </vt:variant>
      <vt:variant>
        <vt:i4>7733291</vt:i4>
      </vt:variant>
      <vt:variant>
        <vt:i4>42</vt:i4>
      </vt:variant>
      <vt:variant>
        <vt:i4>0</vt:i4>
      </vt:variant>
      <vt:variant>
        <vt:i4>5</vt:i4>
      </vt:variant>
      <vt:variant>
        <vt:lpwstr>http://goo.gl/hkgVs</vt:lpwstr>
      </vt:variant>
      <vt:variant>
        <vt:lpwstr/>
      </vt:variant>
      <vt:variant>
        <vt:i4>6946856</vt:i4>
      </vt:variant>
      <vt:variant>
        <vt:i4>39</vt:i4>
      </vt:variant>
      <vt:variant>
        <vt:i4>0</vt:i4>
      </vt:variant>
      <vt:variant>
        <vt:i4>5</vt:i4>
      </vt:variant>
      <vt:variant>
        <vt:lpwstr>http://goo.gl/vOznE</vt:lpwstr>
      </vt:variant>
      <vt:variant>
        <vt:lpwstr/>
      </vt:variant>
      <vt:variant>
        <vt:i4>6815782</vt:i4>
      </vt:variant>
      <vt:variant>
        <vt:i4>36</vt:i4>
      </vt:variant>
      <vt:variant>
        <vt:i4>0</vt:i4>
      </vt:variant>
      <vt:variant>
        <vt:i4>5</vt:i4>
      </vt:variant>
      <vt:variant>
        <vt:lpwstr>http://goo.gl/5O7L2</vt:lpwstr>
      </vt:variant>
      <vt:variant>
        <vt:lpwstr/>
      </vt:variant>
      <vt:variant>
        <vt:i4>8323127</vt:i4>
      </vt:variant>
      <vt:variant>
        <vt:i4>33</vt:i4>
      </vt:variant>
      <vt:variant>
        <vt:i4>0</vt:i4>
      </vt:variant>
      <vt:variant>
        <vt:i4>5</vt:i4>
      </vt:variant>
      <vt:variant>
        <vt:lpwstr>http://goo.gl/Pucas</vt:lpwstr>
      </vt:variant>
      <vt:variant>
        <vt:lpwstr/>
      </vt:variant>
      <vt:variant>
        <vt:i4>7929892</vt:i4>
      </vt:variant>
      <vt:variant>
        <vt:i4>30</vt:i4>
      </vt:variant>
      <vt:variant>
        <vt:i4>0</vt:i4>
      </vt:variant>
      <vt:variant>
        <vt:i4>5</vt:i4>
      </vt:variant>
      <vt:variant>
        <vt:lpwstr>http://goo.gl/pbPpp</vt:lpwstr>
      </vt:variant>
      <vt:variant>
        <vt:lpwstr/>
      </vt:variant>
      <vt:variant>
        <vt:i4>720973</vt:i4>
      </vt:variant>
      <vt:variant>
        <vt:i4>27</vt:i4>
      </vt:variant>
      <vt:variant>
        <vt:i4>0</vt:i4>
      </vt:variant>
      <vt:variant>
        <vt:i4>5</vt:i4>
      </vt:variant>
      <vt:variant>
        <vt:lpwstr>http://fr.wikipedia.org/wiki/Crowdfunding</vt:lpwstr>
      </vt:variant>
      <vt:variant>
        <vt:lpwstr/>
      </vt:variant>
      <vt:variant>
        <vt:i4>6029343</vt:i4>
      </vt:variant>
      <vt:variant>
        <vt:i4>24</vt:i4>
      </vt:variant>
      <vt:variant>
        <vt:i4>0</vt:i4>
      </vt:variant>
      <vt:variant>
        <vt:i4>5</vt:i4>
      </vt:variant>
      <vt:variant>
        <vt:lpwstr>http://fr.wikipedia.org/wiki/Fonds_de_roulement</vt:lpwstr>
      </vt:variant>
      <vt:variant>
        <vt:lpwstr/>
      </vt:variant>
      <vt:variant>
        <vt:i4>1376321</vt:i4>
      </vt:variant>
      <vt:variant>
        <vt:i4>21</vt:i4>
      </vt:variant>
      <vt:variant>
        <vt:i4>0</vt:i4>
      </vt:variant>
      <vt:variant>
        <vt:i4>5</vt:i4>
      </vt:variant>
      <vt:variant>
        <vt:lpwstr>http://fr.wikipedia.org/wiki/Besoin_en_fonds_de_roulement</vt:lpwstr>
      </vt:variant>
      <vt:variant>
        <vt:lpwstr/>
      </vt:variant>
      <vt:variant>
        <vt:i4>1310821</vt:i4>
      </vt:variant>
      <vt:variant>
        <vt:i4>18</vt:i4>
      </vt:variant>
      <vt:variant>
        <vt:i4>0</vt:i4>
      </vt:variant>
      <vt:variant>
        <vt:i4>5</vt:i4>
      </vt:variant>
      <vt:variant>
        <vt:lpwstr>http://fr.wikipedia.org/wiki/Solde_ext%C3%A9rieur</vt:lpwstr>
      </vt:variant>
      <vt:variant>
        <vt:lpwstr/>
      </vt:variant>
      <vt:variant>
        <vt:i4>4259877</vt:i4>
      </vt:variant>
      <vt:variant>
        <vt:i4>15</vt:i4>
      </vt:variant>
      <vt:variant>
        <vt:i4>0</vt:i4>
      </vt:variant>
      <vt:variant>
        <vt:i4>5</vt:i4>
      </vt:variant>
      <vt:variant>
        <vt:lpwstr>http://fr.wikipedia.org/wiki/Irving_Fisher</vt:lpwstr>
      </vt:variant>
      <vt:variant>
        <vt:lpwstr/>
      </vt:variant>
      <vt:variant>
        <vt:i4>458838</vt:i4>
      </vt:variant>
      <vt:variant>
        <vt:i4>12</vt:i4>
      </vt:variant>
      <vt:variant>
        <vt:i4>0</vt:i4>
      </vt:variant>
      <vt:variant>
        <vt:i4>5</vt:i4>
      </vt:variant>
      <vt:variant>
        <vt:lpwstr>http://goo.gl/NFJhVb</vt:lpwstr>
      </vt:variant>
      <vt:variant>
        <vt:lpwstr/>
      </vt:variant>
      <vt:variant>
        <vt:i4>3276877</vt:i4>
      </vt:variant>
      <vt:variant>
        <vt:i4>9</vt:i4>
      </vt:variant>
      <vt:variant>
        <vt:i4>0</vt:i4>
      </vt:variant>
      <vt:variant>
        <vt:i4>5</vt:i4>
      </vt:variant>
      <vt:variant>
        <vt:lpwstr>http://fr.wikipedia.org/wiki/Droit</vt:lpwstr>
      </vt:variant>
      <vt:variant>
        <vt:lpwstr>Droit_subjectif</vt:lpwstr>
      </vt:variant>
      <vt:variant>
        <vt:i4>3276866</vt:i4>
      </vt:variant>
      <vt:variant>
        <vt:i4>6</vt:i4>
      </vt:variant>
      <vt:variant>
        <vt:i4>0</vt:i4>
      </vt:variant>
      <vt:variant>
        <vt:i4>5</vt:i4>
      </vt:variant>
      <vt:variant>
        <vt:lpwstr>http://fr.wikipedia.org/wiki/Droit</vt:lpwstr>
      </vt:variant>
      <vt:variant>
        <vt:lpwstr>Droit_objectif</vt:lpwstr>
      </vt:variant>
      <vt:variant>
        <vt:i4>1179743</vt:i4>
      </vt:variant>
      <vt:variant>
        <vt:i4>3</vt:i4>
      </vt:variant>
      <vt:variant>
        <vt:i4>0</vt:i4>
      </vt:variant>
      <vt:variant>
        <vt:i4>5</vt:i4>
      </vt:variant>
      <vt:variant>
        <vt:lpwstr>http://www.iccbxl.be/</vt:lpwstr>
      </vt:variant>
      <vt:variant>
        <vt:lpwstr/>
      </vt:variant>
      <vt:variant>
        <vt:i4>1179743</vt:i4>
      </vt:variant>
      <vt:variant>
        <vt:i4>0</vt:i4>
      </vt:variant>
      <vt:variant>
        <vt:i4>0</vt:i4>
      </vt:variant>
      <vt:variant>
        <vt:i4>5</vt:i4>
      </vt:variant>
      <vt:variant>
        <vt:lpwstr>http://www.iccbxl.be/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Kirsch</dc:creator>
  <cp:lastModifiedBy>Kirsch Eric</cp:lastModifiedBy>
  <cp:revision>58</cp:revision>
  <dcterms:created xsi:type="dcterms:W3CDTF">2014-05-13T21:11:00Z</dcterms:created>
  <dcterms:modified xsi:type="dcterms:W3CDTF">2017-05-17T18:17:00Z</dcterms:modified>
</cp:coreProperties>
</file>